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AE" w:rsidRPr="00C53015" w:rsidRDefault="00AC2155" w:rsidP="00695EBD">
      <w:pPr>
        <w:spacing w:before="240" w:after="0" w:line="312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u w:val="single"/>
          <w:lang w:eastAsia="en-IN"/>
        </w:rPr>
      </w:pPr>
      <w:bookmarkStart w:id="0" w:name="_GoBack"/>
      <w:bookmarkEnd w:id="0"/>
      <w:r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u w:val="single"/>
          <w:lang w:eastAsia="en-IN"/>
        </w:rPr>
        <w:t>Program Mission and Goals</w:t>
      </w:r>
    </w:p>
    <w:p w:rsidR="009717C5" w:rsidRPr="00B61D19" w:rsidRDefault="009717C5" w:rsidP="00AC2155">
      <w:pPr>
        <w:spacing w:after="0" w:line="312" w:lineRule="auto"/>
        <w:jc w:val="lowKashida"/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</w:pPr>
      <w:r w:rsidRPr="00B61D19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The "</w:t>
      </w:r>
      <w:r w:rsidR="009D2DC8" w:rsidRPr="00B61D19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Nutrition</w:t>
      </w:r>
      <w:r w:rsidR="00B61D19" w:rsidRPr="00B61D19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in Health Care</w:t>
      </w:r>
      <w:r w:rsidR="00AC2155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Diploma</w:t>
      </w:r>
      <w:r w:rsidRPr="00B61D19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" aims at providing graduates with essential scientific capabilities in the field of clinical nutrition</w:t>
      </w:r>
      <w:r w:rsidR="006215BC" w:rsidRPr="00B61D19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,</w:t>
      </w:r>
      <w:r w:rsidRPr="00B61D19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</w:t>
      </w:r>
      <w:r w:rsidR="006215BC" w:rsidRPr="00B61D19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in coordination with the </w:t>
      </w:r>
      <w:r w:rsidR="00193366" w:rsidRPr="00B61D19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applied therapeutics</w:t>
      </w:r>
      <w:r w:rsidR="006215BC" w:rsidRPr="00B61D19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,</w:t>
      </w:r>
      <w:r w:rsidRPr="00B61D19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to </w:t>
      </w:r>
      <w:r w:rsidR="006215BC" w:rsidRPr="00B61D19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achieve</w:t>
      </w:r>
      <w:r w:rsidRPr="00B61D19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the best t</w:t>
      </w:r>
      <w:r w:rsidR="00AC2155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reatment service for the </w:t>
      </w:r>
      <w:proofErr w:type="gramStart"/>
      <w:r w:rsidR="00AC2155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patients</w:t>
      </w:r>
      <w:proofErr w:type="gramEnd"/>
      <w:r w:rsidR="00AC2155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. The graduates are also capable of proposing the nutritional regimens suitable for sports` individuals, children and elderly persons, and critical cases to allow them healthy lifestyle.</w:t>
      </w:r>
    </w:p>
    <w:p w:rsidR="000376AE" w:rsidRPr="00C53015" w:rsidRDefault="000376AE" w:rsidP="00695EBD">
      <w:pPr>
        <w:spacing w:before="120" w:after="0" w:line="312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</w:pPr>
      <w:r w:rsidRPr="00C5301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  <w:t xml:space="preserve">Article </w:t>
      </w:r>
      <w:r w:rsidR="00C5301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  <w:t>1</w:t>
      </w:r>
      <w:r w:rsidRPr="00C5301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  <w:t xml:space="preserve">: </w:t>
      </w:r>
      <w:r w:rsidR="006215BC" w:rsidRPr="00C5301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  <w:t>The Certificate</w:t>
      </w:r>
    </w:p>
    <w:p w:rsidR="000376AE" w:rsidRPr="00193366" w:rsidRDefault="000376AE" w:rsidP="006B057E">
      <w:pPr>
        <w:spacing w:after="0" w:line="312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</w:pP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The University of Tanta grants the </w:t>
      </w:r>
      <w:r w:rsidR="00193366"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certificate of “</w:t>
      </w:r>
      <w:r w:rsidR="00B61D19" w:rsidRPr="00B61D19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Nutrition in Health Care</w:t>
      </w:r>
      <w:r w:rsidR="006B057E" w:rsidRPr="006B057E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</w:t>
      </w:r>
      <w:r w:rsidR="006B057E" w:rsidRPr="00B61D19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Diploma</w:t>
      </w:r>
      <w:r w:rsidR="00193366" w:rsidRPr="00B61D19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”</w:t>
      </w:r>
      <w:r w:rsidR="006B057E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,</w:t>
      </w:r>
      <w:r w:rsidR="006215BC" w:rsidRPr="00B61D19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</w:t>
      </w:r>
      <w:r w:rsidR="006B057E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by credit hours system, </w:t>
      </w:r>
      <w:r w:rsidRPr="00B61D19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upon the request of the Faculty of Pharmacy C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ouncil. </w:t>
      </w:r>
    </w:p>
    <w:p w:rsidR="00565DFC" w:rsidRPr="00C53015" w:rsidRDefault="00565DFC" w:rsidP="00695EBD">
      <w:pPr>
        <w:spacing w:before="120" w:after="0" w:line="312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</w:pPr>
      <w:r w:rsidRPr="00C5301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  <w:t xml:space="preserve">Article </w:t>
      </w:r>
      <w:r w:rsidR="00C5301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  <w:t>2</w:t>
      </w:r>
      <w:r w:rsidRPr="00C5301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  <w:t xml:space="preserve">: The Study </w:t>
      </w:r>
      <w:r w:rsidR="00C5301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  <w:t xml:space="preserve">Duration and </w:t>
      </w:r>
      <w:r w:rsidRPr="00C5301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  <w:t>System</w:t>
      </w:r>
    </w:p>
    <w:p w:rsidR="00075194" w:rsidRPr="00193366" w:rsidRDefault="00075194" w:rsidP="00695EBD">
      <w:pPr>
        <w:spacing w:after="0" w:line="312" w:lineRule="auto"/>
        <w:jc w:val="lowKashida"/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</w:pP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The duration of the study is one year. It consists of two semesters (autumn and spring). Each semester consists of 1</w:t>
      </w:r>
      <w:r w:rsidR="00893A62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6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weeks including the examinations, with 1</w:t>
      </w:r>
      <w:r w:rsidR="00893A62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7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credit hours per week per semester. Some courses may be offered in a</w:t>
      </w:r>
      <w:r w:rsidR="00C53015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n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</w:t>
      </w:r>
      <w:r w:rsidR="00C53015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eight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-week summer semester of intensive study</w:t>
      </w:r>
      <w:r w:rsidR="00C53015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</w:t>
      </w:r>
      <w:r w:rsidR="00C53015"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including the examinations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.</w:t>
      </w:r>
    </w:p>
    <w:p w:rsidR="00565DFC" w:rsidRPr="00193366" w:rsidRDefault="00565DFC" w:rsidP="00695EBD">
      <w:pPr>
        <w:spacing w:after="0" w:line="312" w:lineRule="auto"/>
        <w:jc w:val="lowKashida"/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</w:pP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Study at the program proceeds according to credit hours system. A credit hour is equivalent to one–hour theoretical lecture per week, </w:t>
      </w:r>
      <w:r w:rsidR="00893A62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or 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two</w:t>
      </w:r>
      <w:r w:rsidR="006E2460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-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hour practical</w:t>
      </w:r>
      <w:r w:rsidR="00893A62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/applied exercises per week 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throughout the whole semester.</w:t>
      </w:r>
    </w:p>
    <w:p w:rsidR="00BF3330" w:rsidRPr="00EC4645" w:rsidRDefault="00BF3330" w:rsidP="00695EBD">
      <w:pPr>
        <w:spacing w:before="120" w:after="0" w:line="312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</w:pPr>
      <w:r w:rsidRPr="00EC464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  <w:t xml:space="preserve">Article </w:t>
      </w:r>
      <w:r w:rsidR="00EC4645" w:rsidRPr="00EC464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  <w:t>3</w:t>
      </w:r>
      <w:r w:rsidRPr="00EC464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  <w:t xml:space="preserve">: The Study Language </w:t>
      </w:r>
    </w:p>
    <w:p w:rsidR="00BF3330" w:rsidRPr="00BF3330" w:rsidRDefault="00EC4645" w:rsidP="00695EBD">
      <w:pPr>
        <w:spacing w:after="0" w:line="312" w:lineRule="auto"/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</w:pP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T</w:t>
      </w:r>
      <w:r w:rsidR="00BF3330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he study language </w:t>
      </w: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in </w:t>
      </w:r>
      <w:r w:rsidR="00BF3330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the program</w:t>
      </w: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is English Language.</w:t>
      </w:r>
    </w:p>
    <w:p w:rsidR="00BB668C" w:rsidRPr="00EC4645" w:rsidRDefault="00BB668C" w:rsidP="00695EBD">
      <w:pPr>
        <w:spacing w:before="120" w:after="0" w:line="312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val="en-GB" w:bidi="ar-EG"/>
        </w:rPr>
      </w:pPr>
      <w:r w:rsidRPr="00EC464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val="en-GB" w:bidi="ar-EG"/>
        </w:rPr>
        <w:t xml:space="preserve">Article </w:t>
      </w:r>
      <w:r w:rsidR="00EC4645" w:rsidRPr="00EC464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val="en-GB" w:bidi="ar-EG"/>
        </w:rPr>
        <w:t>4</w:t>
      </w:r>
      <w:r w:rsidRPr="00EC464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val="en-GB" w:bidi="ar-EG"/>
        </w:rPr>
        <w:t xml:space="preserve">: </w:t>
      </w:r>
      <w:r w:rsidR="00EC464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val="en-GB" w:bidi="ar-EG"/>
        </w:rPr>
        <w:t>Admission</w:t>
      </w:r>
      <w:r w:rsidRPr="00EC464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val="en-GB" w:bidi="ar-EG"/>
        </w:rPr>
        <w:t xml:space="preserve"> </w:t>
      </w:r>
      <w:r w:rsidR="00EC464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val="en-GB" w:bidi="ar-EG"/>
        </w:rPr>
        <w:t xml:space="preserve">Time </w:t>
      </w:r>
    </w:p>
    <w:p w:rsidR="00EC4645" w:rsidRDefault="00EC4645" w:rsidP="00695EBD">
      <w:pPr>
        <w:spacing w:after="0" w:line="312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</w:pP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Admission to t</w:t>
      </w:r>
      <w:r w:rsidR="00BB668C"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he program is </w:t>
      </w: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allowed</w:t>
      </w:r>
      <w:r w:rsidR="00BB668C"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in August every year until mid-</w:t>
      </w:r>
      <w:r w:rsidR="00BB668C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S</w:t>
      </w:r>
      <w:r w:rsidR="00BB668C"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eptember. </w:t>
      </w: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T</w:t>
      </w:r>
      <w:r w:rsidR="00BB668C"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he </w:t>
      </w: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first semester</w:t>
      </w:r>
      <w:r w:rsidR="00BB668C"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begins in October</w:t>
      </w: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and the second semester begins in February. </w:t>
      </w:r>
    </w:p>
    <w:p w:rsidR="000376AE" w:rsidRPr="00EC4645" w:rsidRDefault="000376AE" w:rsidP="00695EBD">
      <w:pPr>
        <w:spacing w:before="120" w:after="0" w:line="312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</w:pPr>
      <w:r w:rsidRPr="00EC464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  <w:t xml:space="preserve">Article </w:t>
      </w:r>
      <w:r w:rsidR="00EC4645" w:rsidRPr="00EC464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  <w:t>5</w:t>
      </w:r>
      <w:r w:rsidRPr="00EC464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  <w:t xml:space="preserve">: </w:t>
      </w:r>
      <w:r w:rsidR="008B4FD0" w:rsidRPr="00EC464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  <w:t>Admission and Enrollment C</w:t>
      </w:r>
      <w:r w:rsidR="00EC464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  <w:t>riteria</w:t>
      </w:r>
    </w:p>
    <w:p w:rsidR="000376AE" w:rsidRDefault="000376AE" w:rsidP="00A47903">
      <w:pPr>
        <w:spacing w:after="0" w:line="312" w:lineRule="auto"/>
        <w:jc w:val="lowKashida"/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</w:pP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To enroll in the "</w:t>
      </w:r>
      <w:r w:rsidR="00B61D19" w:rsidRPr="00B61D19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Nutrition in Health Care</w:t>
      </w:r>
      <w:r w:rsidR="00AF3970" w:rsidRPr="00AF3970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</w:t>
      </w:r>
      <w:r w:rsidR="00AF3970" w:rsidRPr="00B61D19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Diploma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", a student must have the Bachelor Degree of </w:t>
      </w:r>
      <w:r w:rsidR="00A47903"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Medicine and Surgery </w:t>
      </w:r>
      <w:r w:rsidR="00A47903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or the Bachelor Degree of 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Pharmacy</w:t>
      </w:r>
      <w:r w:rsidR="00A47903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/Pharmaceutical Sciences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or </w:t>
      </w:r>
      <w:r w:rsidR="00A47903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Bachelor Degree of Pharmacy (</w:t>
      </w:r>
      <w:proofErr w:type="spellStart"/>
      <w:r w:rsidR="00A47903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PharmD</w:t>
      </w:r>
      <w:proofErr w:type="spellEnd"/>
      <w:r w:rsidR="00A47903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).</w:t>
      </w:r>
    </w:p>
    <w:p w:rsidR="00EC4645" w:rsidRPr="00EC4645" w:rsidRDefault="00EC4645" w:rsidP="00695EBD">
      <w:pPr>
        <w:spacing w:after="0" w:line="312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</w:pP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lastRenderedPageBreak/>
        <w:t>Applicants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</w:t>
      </w: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should fulfill and provide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the fol</w:t>
      </w: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lowing general requirements</w:t>
      </w:r>
      <w:proofErr w:type="gramStart"/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:</w:t>
      </w:r>
      <w:proofErr w:type="gramEnd"/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br/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Certificate of academic qualification</w:t>
      </w: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- C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ertificate of the courses studied by the student and his assessment in the bachelor degree</w:t>
      </w: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- 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Certificate of birth or an official extract thereof</w:t>
      </w: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- 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val="en-GB" w:bidi="ar-EG"/>
        </w:rPr>
        <w:t xml:space="preserve">The consent of the employer on the student's study </w:t>
      </w:r>
      <w:r w:rsidR="006872BB">
        <w:rPr>
          <w:rFonts w:asciiTheme="majorBidi" w:hAnsiTheme="majorBidi" w:cstheme="majorBidi"/>
          <w:color w:val="000000" w:themeColor="text1"/>
          <w:sz w:val="26"/>
          <w:szCs w:val="26"/>
          <w:lang w:val="en-GB" w:bidi="ar-EG"/>
        </w:rPr>
        <w:t xml:space="preserve">and exploitation for at least two days 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val="en-GB" w:bidi="ar-EG"/>
        </w:rPr>
        <w:t xml:space="preserve">if he/she is 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an employee</w:t>
      </w: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- 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Copy of the national number</w:t>
      </w: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- 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val="en-GB" w:bidi="ar-EG"/>
        </w:rPr>
        <w:t>Payment of study fees and fees in exchange for research hours</w:t>
      </w:r>
      <w:r>
        <w:rPr>
          <w:rFonts w:asciiTheme="majorBidi" w:hAnsiTheme="majorBidi" w:cstheme="majorBidi"/>
          <w:color w:val="000000" w:themeColor="text1"/>
          <w:sz w:val="26"/>
          <w:szCs w:val="26"/>
          <w:lang w:val="en-GB" w:bidi="ar-EG"/>
        </w:rPr>
        <w:t>.</w:t>
      </w:r>
    </w:p>
    <w:p w:rsidR="00043FEA" w:rsidRPr="00EC4645" w:rsidRDefault="00043FEA" w:rsidP="00695EBD">
      <w:pPr>
        <w:spacing w:before="120" w:after="0" w:line="312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</w:pPr>
      <w:r w:rsidRPr="00EC464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  <w:t>A</w:t>
      </w:r>
      <w:r w:rsidR="000376AE" w:rsidRPr="00EC464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  <w:t xml:space="preserve">rticle </w:t>
      </w:r>
      <w:r w:rsidR="00EC4645" w:rsidRPr="00EC464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  <w:t>6</w:t>
      </w:r>
      <w:r w:rsidR="000376AE" w:rsidRPr="00EC464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  <w:t xml:space="preserve">: Requirements for Obtaining the </w:t>
      </w:r>
      <w:r w:rsidR="009F6D1C" w:rsidRPr="00EC464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  <w:t>Certificate</w:t>
      </w:r>
    </w:p>
    <w:p w:rsidR="000376AE" w:rsidRPr="00193366" w:rsidRDefault="00043FEA" w:rsidP="00695EBD">
      <w:pPr>
        <w:spacing w:after="0" w:line="312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</w:pP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To achieve the scientific certificate the student should s</w:t>
      </w:r>
      <w:r w:rsidR="000376AE"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uc</w:t>
      </w: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ceed</w:t>
      </w:r>
      <w:r w:rsidR="000376AE"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in 3</w:t>
      </w:r>
      <w:r w:rsidR="009F6D1C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4</w:t>
      </w:r>
      <w:r w:rsidR="000376AE"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credit hours and </w:t>
      </w: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gain </w:t>
      </w:r>
      <w:r w:rsidR="000376AE"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cumulative </w:t>
      </w: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grade point </w:t>
      </w:r>
      <w:r w:rsidR="000376AE"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average </w:t>
      </w: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not less than 2</w:t>
      </w:r>
      <w:r w:rsidR="00EC4645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(D)</w:t>
      </w: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.</w:t>
      </w:r>
    </w:p>
    <w:p w:rsidR="000376AE" w:rsidRPr="00152D9A" w:rsidRDefault="000376AE" w:rsidP="00695EBD">
      <w:pPr>
        <w:spacing w:before="120" w:after="0" w:line="312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val="en-GB" w:bidi="ar-EG"/>
        </w:rPr>
      </w:pPr>
      <w:r w:rsidRPr="00152D9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  <w:t xml:space="preserve">Article </w:t>
      </w:r>
      <w:r w:rsidR="00152D9A" w:rsidRPr="00152D9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  <w:t>7</w:t>
      </w:r>
      <w:r w:rsidRPr="00152D9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  <w:t xml:space="preserve">: </w:t>
      </w:r>
      <w:r w:rsidRPr="00152D9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val="en-GB" w:bidi="ar-EG"/>
        </w:rPr>
        <w:t xml:space="preserve">Study </w:t>
      </w:r>
      <w:r w:rsidR="00255E8C" w:rsidRPr="00152D9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val="en-GB" w:bidi="ar-EG"/>
        </w:rPr>
        <w:t>Commitment Rules</w:t>
      </w:r>
    </w:p>
    <w:p w:rsidR="00255E8C" w:rsidRDefault="000376AE" w:rsidP="00695EBD">
      <w:pPr>
        <w:spacing w:after="0" w:line="312" w:lineRule="auto"/>
        <w:jc w:val="lowKashida"/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</w:pP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The student must </w:t>
      </w:r>
      <w:r w:rsidR="00152D9A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commit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to attend theoretical lectures and practical </w:t>
      </w:r>
      <w:r w:rsidR="00255E8C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sessions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.</w:t>
      </w:r>
      <w:r w:rsidR="00255E8C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The Higher Committee </w:t>
      </w:r>
      <w:r w:rsidR="00255E8C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has the authority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,</w:t>
      </w:r>
      <w:r w:rsidR="00255E8C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upon the recommendation of the Executive Committee, </w:t>
      </w:r>
      <w:r w:rsidR="00255E8C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to 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deprive the student of applying for the </w:t>
      </w:r>
      <w:r w:rsidR="00255E8C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final 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written exam if his/her absence exceeds 25% of the total hours of the course.</w:t>
      </w:r>
      <w:r w:rsidR="00255E8C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In the latter case, the student is considered Fa</w:t>
      </w:r>
      <w:r w:rsidR="00177E34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i</w:t>
      </w:r>
      <w:r w:rsidR="00255E8C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l</w:t>
      </w:r>
      <w:r w:rsidR="00735BBB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ing</w:t>
      </w:r>
      <w:r w:rsidR="00255E8C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and is given grade F.</w:t>
      </w:r>
    </w:p>
    <w:p w:rsidR="006D54DD" w:rsidRPr="00152D9A" w:rsidRDefault="006D54DD" w:rsidP="00695EBD">
      <w:pPr>
        <w:spacing w:before="120" w:after="0" w:line="312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</w:pPr>
      <w:r w:rsidRPr="00152D9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  <w:t xml:space="preserve">Article </w:t>
      </w:r>
      <w:r w:rsidR="00152D9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  <w:t>8</w:t>
      </w:r>
      <w:r w:rsidRPr="00152D9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  <w:t>: Registration of Courses</w:t>
      </w:r>
    </w:p>
    <w:p w:rsidR="006D54DD" w:rsidRDefault="006D54DD" w:rsidP="00695EBD">
      <w:pPr>
        <w:spacing w:after="0" w:line="312" w:lineRule="auto"/>
        <w:jc w:val="lowKashida"/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</w:pP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Registration </w:t>
      </w: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is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</w:t>
      </w:r>
      <w:r w:rsidR="0092585D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allowed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for two weeks at the beginning of each semester. Each student must register </w:t>
      </w: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for 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the courses he wishes with the </w:t>
      </w: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help of </w:t>
      </w:r>
      <w:r w:rsidR="0092585D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his</w:t>
      </w: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academic advisor. 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The student is not allowed to register late </w:t>
      </w: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except after getting 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the consent of the </w:t>
      </w: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Executive Committee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</w:t>
      </w: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within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one week </w:t>
      </w: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after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the end of the registration period.</w:t>
      </w:r>
    </w:p>
    <w:p w:rsidR="0092585D" w:rsidRPr="00152D9A" w:rsidRDefault="0092585D" w:rsidP="00695EBD">
      <w:pPr>
        <w:spacing w:before="120" w:after="0" w:line="312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</w:pPr>
      <w:r w:rsidRPr="00152D9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  <w:t xml:space="preserve">Article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  <w:t>9</w:t>
      </w:r>
      <w:r w:rsidRPr="00152D9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  <w:t xml:space="preserve">: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  <w:t>Addition, Dropping and Withdrawal</w:t>
      </w:r>
    </w:p>
    <w:p w:rsidR="006D54DD" w:rsidRPr="00193366" w:rsidRDefault="0092585D" w:rsidP="00695EBD">
      <w:pPr>
        <w:spacing w:after="0" w:line="312" w:lineRule="auto"/>
        <w:jc w:val="lowKashida"/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</w:pP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T</w:t>
      </w:r>
      <w:r w:rsidR="006D54DD"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he student may </w:t>
      </w: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add or </w:t>
      </w:r>
      <w:r w:rsidR="006D54DD"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drop one or more courses to his/her credit hours, </w:t>
      </w: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after approval of the academic advisor, </w:t>
      </w:r>
      <w:r w:rsidR="006D54DD"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within the first four weeks of the beginning of the </w:t>
      </w: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main </w:t>
      </w:r>
      <w:r w:rsidR="006D54DD"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semester</w:t>
      </w: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(or 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within the first </w:t>
      </w: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two 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weeks of the beginning of the </w:t>
      </w: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summer 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semester</w:t>
      </w: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), with regard to the academic load (Article 10)</w:t>
      </w:r>
      <w:r w:rsidR="006D54DD"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.</w:t>
      </w:r>
      <w:r w:rsidR="00177E34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</w:t>
      </w:r>
      <w:r w:rsidR="006D54DD"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The student may</w:t>
      </w:r>
      <w:r w:rsidR="007B165C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also, after approval of the academic advisor, </w:t>
      </w:r>
      <w:r w:rsidR="006D54DD"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withdraw from one or more courses in any semester without being considered failing in this course </w:t>
      </w:r>
      <w:r w:rsidR="00177E34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i</w:t>
      </w:r>
      <w:r w:rsidR="006D54DD"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f he/she submits a request to withdraw during the first eight weeks of the beginning of </w:t>
      </w:r>
      <w:r w:rsidR="006D54DD"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lastRenderedPageBreak/>
        <w:t xml:space="preserve">the </w:t>
      </w: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main </w:t>
      </w:r>
      <w:r w:rsidR="006D54DD"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semester</w:t>
      </w: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(or 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within the first four weeks of the beginning of the </w:t>
      </w: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summer 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semester</w:t>
      </w: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)</w:t>
      </w:r>
      <w:r w:rsidR="00177E34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.</w:t>
      </w:r>
      <w:r w:rsidR="006D54DD"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</w:t>
      </w:r>
    </w:p>
    <w:p w:rsidR="006D54DD" w:rsidRPr="007B165C" w:rsidRDefault="00E979B9" w:rsidP="00695EBD">
      <w:pPr>
        <w:spacing w:before="120" w:after="0" w:line="312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ar-EG"/>
        </w:rPr>
      </w:pPr>
      <w:r w:rsidRPr="007B165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  <w:t>Article 10: Academic Load</w:t>
      </w:r>
    </w:p>
    <w:p w:rsidR="00E979B9" w:rsidRDefault="006D54DD" w:rsidP="00695EBD">
      <w:pPr>
        <w:spacing w:after="0" w:line="312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</w:pP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The </w:t>
      </w:r>
      <w:r w:rsidR="007B165C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minimum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academic load in the </w:t>
      </w:r>
      <w:r w:rsidR="00E979B9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main 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semester is 1</w:t>
      </w:r>
      <w:r w:rsidR="007B165C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0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credit hours and the </w:t>
      </w:r>
      <w:r w:rsidR="007B165C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maximum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</w:t>
      </w:r>
      <w:r w:rsidR="00E979B9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is </w:t>
      </w:r>
      <w:r w:rsidR="007B165C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17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credit hours</w:t>
      </w:r>
      <w:r w:rsidR="00E979B9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, whereas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</w:t>
      </w:r>
      <w:r w:rsidR="00E979B9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t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he maximum </w:t>
      </w:r>
      <w:r w:rsidR="00E979B9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academic 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load in the summer semester is 9 credit hours.</w:t>
      </w:r>
    </w:p>
    <w:p w:rsidR="000376AE" w:rsidRPr="007B165C" w:rsidRDefault="006D54DD" w:rsidP="00695EBD">
      <w:pPr>
        <w:spacing w:before="120" w:after="0" w:line="312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</w:pP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</w:t>
      </w:r>
      <w:r w:rsidR="000376AE" w:rsidRPr="007B165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  <w:t>Article 11: Academic Advis</w:t>
      </w:r>
      <w:r w:rsidR="00E979B9" w:rsidRPr="007B165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  <w:t>or</w:t>
      </w:r>
    </w:p>
    <w:p w:rsidR="000376AE" w:rsidRPr="00193366" w:rsidRDefault="00E979B9" w:rsidP="00695EBD">
      <w:pPr>
        <w:spacing w:before="120" w:after="0" w:line="312" w:lineRule="auto"/>
        <w:jc w:val="distribute"/>
        <w:rPr>
          <w:rFonts w:asciiTheme="majorBidi" w:hAnsiTheme="majorBidi" w:cstheme="majorBidi"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An Academic Advisor</w:t>
      </w:r>
      <w:r w:rsidR="00735BBB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, one of the </w:t>
      </w:r>
      <w:r w:rsidR="00735BBB"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Faculty Members</w:t>
      </w:r>
      <w:r w:rsidR="00735BBB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,</w:t>
      </w: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is assigned </w:t>
      </w:r>
      <w:r w:rsidR="007B165C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by the Executive Committee </w:t>
      </w: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for e</w:t>
      </w:r>
      <w:r w:rsidR="000376AE"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ach group of students </w:t>
      </w: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and</w:t>
      </w:r>
      <w:r w:rsidR="000376AE"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</w:t>
      </w:r>
      <w:r w:rsidR="00735BBB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h</w:t>
      </w:r>
      <w:r w:rsidR="000376AE"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is tasks </w:t>
      </w: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are</w:t>
      </w:r>
      <w:r w:rsidR="000376AE"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as follows:</w:t>
      </w:r>
    </w:p>
    <w:p w:rsidR="001A50E8" w:rsidRPr="00735BBB" w:rsidRDefault="000376AE" w:rsidP="00695EBD">
      <w:pPr>
        <w:pStyle w:val="ListParagraph"/>
        <w:numPr>
          <w:ilvl w:val="0"/>
          <w:numId w:val="32"/>
        </w:numPr>
        <w:spacing w:after="0" w:line="288" w:lineRule="auto"/>
        <w:ind w:left="274" w:hanging="274"/>
        <w:jc w:val="lowKashida"/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</w:pPr>
      <w:r w:rsidRPr="00735BBB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Assisting the student in selecting and registering courses</w:t>
      </w:r>
    </w:p>
    <w:p w:rsidR="000376AE" w:rsidRPr="00735BBB" w:rsidRDefault="000376AE" w:rsidP="00695EBD">
      <w:pPr>
        <w:pStyle w:val="ListParagraph"/>
        <w:numPr>
          <w:ilvl w:val="0"/>
          <w:numId w:val="32"/>
        </w:numPr>
        <w:spacing w:after="0" w:line="288" w:lineRule="auto"/>
        <w:ind w:left="274" w:hanging="274"/>
        <w:jc w:val="lowKashida"/>
        <w:rPr>
          <w:rFonts w:asciiTheme="majorBidi" w:hAnsiTheme="majorBidi" w:cstheme="majorBidi"/>
          <w:color w:val="000000" w:themeColor="text1"/>
          <w:sz w:val="26"/>
          <w:szCs w:val="26"/>
          <w:rtl/>
          <w:lang w:bidi="ar-EG"/>
        </w:rPr>
      </w:pPr>
      <w:r w:rsidRPr="00735BBB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Following up the student on an ongoing basis and </w:t>
      </w:r>
      <w:r w:rsidR="007B165C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treat</w:t>
      </w:r>
      <w:r w:rsidRPr="00735BBB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the </w:t>
      </w:r>
      <w:r w:rsidR="007B165C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obstacles</w:t>
      </w:r>
      <w:r w:rsidR="001A50E8" w:rsidRPr="00735BBB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that appear during the study</w:t>
      </w:r>
    </w:p>
    <w:p w:rsidR="001A50E8" w:rsidRPr="00735BBB" w:rsidRDefault="000376AE" w:rsidP="00695EBD">
      <w:pPr>
        <w:pStyle w:val="ListParagraph"/>
        <w:numPr>
          <w:ilvl w:val="0"/>
          <w:numId w:val="32"/>
        </w:numPr>
        <w:spacing w:after="0" w:line="288" w:lineRule="auto"/>
        <w:ind w:left="274" w:hanging="274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</w:pPr>
      <w:r w:rsidRPr="00735BBB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Preparing a complete file for each student includ</w:t>
      </w:r>
      <w:r w:rsidR="001A50E8" w:rsidRPr="00735BBB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ing</w:t>
      </w:r>
      <w:r w:rsidRPr="00735BBB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all the data</w:t>
      </w:r>
      <w:r w:rsidR="001A50E8" w:rsidRPr="00735BBB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for the student he/she guides</w:t>
      </w:r>
      <w:r w:rsidRPr="00735BBB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</w:t>
      </w:r>
    </w:p>
    <w:p w:rsidR="001A50E8" w:rsidRPr="00735BBB" w:rsidRDefault="001A50E8" w:rsidP="00695EBD">
      <w:pPr>
        <w:pStyle w:val="ListParagraph"/>
        <w:numPr>
          <w:ilvl w:val="0"/>
          <w:numId w:val="32"/>
        </w:numPr>
        <w:spacing w:after="0" w:line="288" w:lineRule="auto"/>
        <w:ind w:left="274" w:hanging="274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</w:pPr>
      <w:r w:rsidRPr="00735BBB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Suggesting</w:t>
      </w:r>
      <w:r w:rsidR="000376AE" w:rsidRPr="00735BBB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the courses to be </w:t>
      </w:r>
      <w:r w:rsidRPr="00735BBB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studied</w:t>
      </w:r>
      <w:r w:rsidR="000376AE" w:rsidRPr="00735BBB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</w:t>
      </w:r>
      <w:r w:rsidRPr="00735BBB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in the summer</w:t>
      </w:r>
      <w:r w:rsidR="000376AE" w:rsidRPr="00735BBB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semester accordi</w:t>
      </w:r>
      <w:r w:rsidRPr="00735BBB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ng to students' needs</w:t>
      </w:r>
    </w:p>
    <w:p w:rsidR="000376AE" w:rsidRPr="00735BBB" w:rsidRDefault="000376AE" w:rsidP="00695EBD">
      <w:pPr>
        <w:pStyle w:val="ListParagraph"/>
        <w:numPr>
          <w:ilvl w:val="0"/>
          <w:numId w:val="32"/>
        </w:numPr>
        <w:spacing w:after="0" w:line="288" w:lineRule="auto"/>
        <w:ind w:left="274" w:hanging="274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</w:pPr>
      <w:r w:rsidRPr="00735BBB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Instructing the student</w:t>
      </w:r>
      <w:r w:rsidR="001A50E8" w:rsidRPr="00735BBB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s</w:t>
      </w:r>
      <w:r w:rsidRPr="00735BBB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in case of </w:t>
      </w:r>
      <w:r w:rsidR="001A50E8" w:rsidRPr="00735BBB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registration, </w:t>
      </w:r>
      <w:r w:rsidR="007B165C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addition, dropping, </w:t>
      </w:r>
      <w:r w:rsidR="001A50E8" w:rsidRPr="00735BBB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withdrawal, </w:t>
      </w:r>
      <w:r w:rsidR="000F461A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or </w:t>
      </w:r>
      <w:r w:rsidR="001A50E8" w:rsidRPr="00735BBB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absence, and assigning the student registration form</w:t>
      </w:r>
    </w:p>
    <w:p w:rsidR="000376AE" w:rsidRPr="00222915" w:rsidRDefault="000376AE" w:rsidP="00695EBD">
      <w:pPr>
        <w:spacing w:before="120" w:after="0" w:line="312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val="en-GB" w:bidi="ar-EG"/>
        </w:rPr>
      </w:pPr>
      <w:r w:rsidRPr="0022291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val="en-GB" w:bidi="ar-EG"/>
        </w:rPr>
        <w:t>Article 1</w:t>
      </w:r>
      <w:r w:rsidR="00735BBB" w:rsidRPr="0022291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val="en-GB" w:bidi="ar-EG"/>
        </w:rPr>
        <w:t>2</w:t>
      </w:r>
      <w:r w:rsidRPr="0022291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val="en-GB" w:bidi="ar-EG"/>
        </w:rPr>
        <w:t xml:space="preserve">: </w:t>
      </w:r>
      <w:r w:rsidR="00735BBB" w:rsidRPr="0022291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val="en-GB" w:bidi="ar-EG"/>
        </w:rPr>
        <w:t>Dropping Out of Study</w:t>
      </w:r>
    </w:p>
    <w:p w:rsidR="00675E6C" w:rsidRDefault="00735BBB" w:rsidP="00695EBD">
      <w:pPr>
        <w:spacing w:after="0" w:line="312" w:lineRule="auto"/>
        <w:contextualSpacing/>
        <w:jc w:val="lowKashida"/>
        <w:rPr>
          <w:rFonts w:asciiTheme="majorBidi" w:hAnsiTheme="majorBidi" w:cstheme="majorBidi"/>
          <w:color w:val="000000" w:themeColor="text1"/>
          <w:sz w:val="26"/>
          <w:szCs w:val="26"/>
          <w:lang w:val="en-GB" w:bidi="ar-EG"/>
        </w:rPr>
      </w:pP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The student </w:t>
      </w: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is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considered dropped out if he/she does not </w:t>
      </w: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register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in a semester either with or without an excuse.</w:t>
      </w: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A student may drop out for </w:t>
      </w: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a maximum of 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two consecutive or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rtl/>
          <w:lang w:bidi="ar-EG"/>
        </w:rPr>
        <w:t xml:space="preserve"> </w:t>
      </w:r>
      <w:r>
        <w:rPr>
          <w:rFonts w:asciiTheme="majorBidi" w:hAnsiTheme="majorBidi" w:cstheme="majorBidi"/>
          <w:color w:val="000000" w:themeColor="text1"/>
          <w:sz w:val="26"/>
          <w:szCs w:val="26"/>
          <w:lang w:val="en-GB" w:bidi="ar-EG"/>
        </w:rPr>
        <w:t>non-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val="en-GB" w:bidi="ar-EG"/>
        </w:rPr>
        <w:t xml:space="preserve">consecutive semesters provided that the </w:t>
      </w:r>
      <w:r w:rsidR="00675E6C">
        <w:rPr>
          <w:rFonts w:asciiTheme="majorBidi" w:hAnsiTheme="majorBidi" w:cstheme="majorBidi"/>
          <w:color w:val="000000" w:themeColor="text1"/>
          <w:sz w:val="26"/>
          <w:szCs w:val="26"/>
          <w:lang w:val="en-GB" w:bidi="ar-EG"/>
        </w:rPr>
        <w:t>High</w:t>
      </w:r>
      <w:r w:rsidR="00AE39DC">
        <w:rPr>
          <w:rFonts w:asciiTheme="majorBidi" w:hAnsiTheme="majorBidi" w:cstheme="majorBidi"/>
          <w:color w:val="000000" w:themeColor="text1"/>
          <w:sz w:val="26"/>
          <w:szCs w:val="26"/>
          <w:lang w:val="en-GB" w:bidi="ar-EG"/>
        </w:rPr>
        <w:t>er</w:t>
      </w:r>
      <w:r>
        <w:rPr>
          <w:rFonts w:asciiTheme="majorBidi" w:hAnsiTheme="majorBidi" w:cstheme="majorBidi"/>
          <w:color w:val="000000" w:themeColor="text1"/>
          <w:sz w:val="26"/>
          <w:szCs w:val="26"/>
          <w:lang w:val="en-GB" w:bidi="ar-EG"/>
        </w:rPr>
        <w:t xml:space="preserve"> Committee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val="en-GB" w:bidi="ar-EG"/>
        </w:rPr>
        <w:t xml:space="preserve"> approves it. The student </w:t>
      </w:r>
      <w:r w:rsidR="00675E6C">
        <w:rPr>
          <w:rFonts w:asciiTheme="majorBidi" w:hAnsiTheme="majorBidi" w:cstheme="majorBidi"/>
          <w:color w:val="000000" w:themeColor="text1"/>
          <w:sz w:val="26"/>
          <w:szCs w:val="26"/>
          <w:lang w:val="en-GB" w:bidi="ar-EG"/>
        </w:rPr>
        <w:t xml:space="preserve">will be 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dismissed from the </w:t>
      </w:r>
      <w:r w:rsidR="00675E6C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program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if his/her suspension is for a longer period without an excuse accepted by the </w:t>
      </w:r>
      <w:r w:rsidR="00675E6C">
        <w:rPr>
          <w:rFonts w:asciiTheme="majorBidi" w:hAnsiTheme="majorBidi" w:cstheme="majorBidi"/>
          <w:color w:val="000000" w:themeColor="text1"/>
          <w:sz w:val="26"/>
          <w:szCs w:val="26"/>
          <w:lang w:val="en-GB" w:bidi="ar-EG"/>
        </w:rPr>
        <w:t>High</w:t>
      </w:r>
      <w:r w:rsidR="00AE39DC">
        <w:rPr>
          <w:rFonts w:asciiTheme="majorBidi" w:hAnsiTheme="majorBidi" w:cstheme="majorBidi"/>
          <w:color w:val="000000" w:themeColor="text1"/>
          <w:sz w:val="26"/>
          <w:szCs w:val="26"/>
          <w:lang w:val="en-GB" w:bidi="ar-EG"/>
        </w:rPr>
        <w:t>er</w:t>
      </w:r>
      <w:r w:rsidR="00675E6C">
        <w:rPr>
          <w:rFonts w:asciiTheme="majorBidi" w:hAnsiTheme="majorBidi" w:cstheme="majorBidi"/>
          <w:color w:val="000000" w:themeColor="text1"/>
          <w:sz w:val="26"/>
          <w:szCs w:val="26"/>
          <w:lang w:val="en-GB" w:bidi="ar-EG"/>
        </w:rPr>
        <w:t xml:space="preserve"> Committee.</w:t>
      </w:r>
      <w:r w:rsidR="00675E6C" w:rsidRPr="00193366">
        <w:rPr>
          <w:rFonts w:asciiTheme="majorBidi" w:hAnsiTheme="majorBidi" w:cstheme="majorBidi"/>
          <w:color w:val="000000" w:themeColor="text1"/>
          <w:sz w:val="26"/>
          <w:szCs w:val="26"/>
          <w:lang w:val="en-GB" w:bidi="ar-EG"/>
        </w:rPr>
        <w:t xml:space="preserve"> </w:t>
      </w:r>
    </w:p>
    <w:p w:rsidR="00B6039A" w:rsidRPr="00222915" w:rsidRDefault="00B6039A" w:rsidP="00695EBD">
      <w:pPr>
        <w:spacing w:before="120" w:after="0" w:line="312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</w:pPr>
      <w:r w:rsidRPr="0022291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  <w:t>Article 13: Evaluation of Students</w:t>
      </w:r>
    </w:p>
    <w:p w:rsidR="000376AE" w:rsidRPr="00D56D25" w:rsidRDefault="00B6039A" w:rsidP="0000645D">
      <w:pPr>
        <w:spacing w:after="120" w:line="312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</w:pP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Students are assessed through </w:t>
      </w: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the semester activity and the 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written, practical and oral examinations as well as an assessment of the skills acquired from the </w:t>
      </w:r>
      <w:r w:rsidR="0000645D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research project.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</w:t>
      </w: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The evaluation form of the </w:t>
      </w:r>
      <w:r w:rsidR="0000645D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research project</w:t>
      </w:r>
      <w:r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should be approved by the Executive Committee and the Higher Committee of the </w:t>
      </w:r>
      <w:r w:rsidR="00D56D25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p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rogram.</w:t>
      </w:r>
      <w:r w:rsidR="00D56D25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Calculation of </w:t>
      </w:r>
      <w:r w:rsidR="00AE39DC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course 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grade is shown in the </w:t>
      </w:r>
      <w:r w:rsidR="00AE39DC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f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ollowing table:</w:t>
      </w:r>
    </w:p>
    <w:tbl>
      <w:tblPr>
        <w:tblStyle w:val="TableGrid"/>
        <w:tblW w:w="8478" w:type="dxa"/>
        <w:tblLook w:val="04A0" w:firstRow="1" w:lastRow="0" w:firstColumn="1" w:lastColumn="0" w:noHBand="0" w:noVBand="1"/>
      </w:tblPr>
      <w:tblGrid>
        <w:gridCol w:w="2029"/>
        <w:gridCol w:w="3209"/>
        <w:gridCol w:w="1440"/>
        <w:gridCol w:w="1800"/>
      </w:tblGrid>
      <w:tr w:rsidR="000376AE" w:rsidRPr="00193366" w:rsidTr="00695EBD">
        <w:trPr>
          <w:trHeight w:val="433"/>
        </w:trPr>
        <w:tc>
          <w:tcPr>
            <w:tcW w:w="8478" w:type="dxa"/>
            <w:gridSpan w:val="4"/>
          </w:tcPr>
          <w:p w:rsidR="000376AE" w:rsidRPr="00695EBD" w:rsidRDefault="000376AE" w:rsidP="00695EB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  <w:lastRenderedPageBreak/>
              <w:t>Calculating Grades of Courses</w:t>
            </w:r>
          </w:p>
        </w:tc>
      </w:tr>
      <w:tr w:rsidR="00222915" w:rsidRPr="00193366" w:rsidTr="00695EBD">
        <w:trPr>
          <w:trHeight w:val="413"/>
        </w:trPr>
        <w:tc>
          <w:tcPr>
            <w:tcW w:w="2029" w:type="dxa"/>
          </w:tcPr>
          <w:p w:rsidR="00222915" w:rsidRPr="00695EBD" w:rsidRDefault="00222915" w:rsidP="00695EB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  <w:t xml:space="preserve">Points </w:t>
            </w:r>
          </w:p>
        </w:tc>
        <w:tc>
          <w:tcPr>
            <w:tcW w:w="3209" w:type="dxa"/>
          </w:tcPr>
          <w:p w:rsidR="00222915" w:rsidRPr="00695EBD" w:rsidRDefault="00222915" w:rsidP="00695EB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  <w:t xml:space="preserve">Percentage </w:t>
            </w:r>
          </w:p>
        </w:tc>
        <w:tc>
          <w:tcPr>
            <w:tcW w:w="1440" w:type="dxa"/>
          </w:tcPr>
          <w:p w:rsidR="00222915" w:rsidRPr="00695EBD" w:rsidRDefault="00222915" w:rsidP="00695EB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  <w:t>Symbol</w:t>
            </w:r>
          </w:p>
        </w:tc>
        <w:tc>
          <w:tcPr>
            <w:tcW w:w="1800" w:type="dxa"/>
          </w:tcPr>
          <w:p w:rsidR="00222915" w:rsidRPr="00695EBD" w:rsidRDefault="00222915" w:rsidP="00695EB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  <w:t>Grade</w:t>
            </w:r>
          </w:p>
        </w:tc>
      </w:tr>
      <w:tr w:rsidR="000376AE" w:rsidRPr="00193366" w:rsidTr="00695EBD">
        <w:trPr>
          <w:trHeight w:val="378"/>
        </w:trPr>
        <w:tc>
          <w:tcPr>
            <w:tcW w:w="2029" w:type="dxa"/>
          </w:tcPr>
          <w:p w:rsidR="000376AE" w:rsidRPr="00695EBD" w:rsidRDefault="000376AE" w:rsidP="00695EBD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  <w:t>5</w:t>
            </w:r>
          </w:p>
        </w:tc>
        <w:tc>
          <w:tcPr>
            <w:tcW w:w="3209" w:type="dxa"/>
          </w:tcPr>
          <w:p w:rsidR="000376AE" w:rsidRPr="00695EBD" w:rsidRDefault="000376AE" w:rsidP="00695EBD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EG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  <w:t>Greater than or equal to</w:t>
            </w:r>
            <w:r w:rsidR="00D56D25"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 </w:t>
            </w: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  <w:r w:rsidR="00DA78BE"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  <w:t>90</w:t>
            </w:r>
            <w:r w:rsidR="00D56D25"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% </w:t>
            </w:r>
          </w:p>
        </w:tc>
        <w:tc>
          <w:tcPr>
            <w:tcW w:w="1440" w:type="dxa"/>
          </w:tcPr>
          <w:p w:rsidR="000376AE" w:rsidRPr="00695EBD" w:rsidRDefault="000376AE" w:rsidP="00695EB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  <w:t>A+</w:t>
            </w:r>
          </w:p>
        </w:tc>
        <w:tc>
          <w:tcPr>
            <w:tcW w:w="1800" w:type="dxa"/>
            <w:vMerge w:val="restart"/>
          </w:tcPr>
          <w:p w:rsidR="00695EBD" w:rsidRDefault="00695EBD" w:rsidP="00695EBD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</w:pPr>
          </w:p>
          <w:p w:rsidR="000376AE" w:rsidRPr="00695EBD" w:rsidRDefault="000376AE" w:rsidP="00695EB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  <w:t>Excellent</w:t>
            </w:r>
          </w:p>
        </w:tc>
      </w:tr>
      <w:tr w:rsidR="000376AE" w:rsidRPr="00193366" w:rsidTr="00695EBD">
        <w:trPr>
          <w:trHeight w:val="374"/>
        </w:trPr>
        <w:tc>
          <w:tcPr>
            <w:tcW w:w="2029" w:type="dxa"/>
          </w:tcPr>
          <w:p w:rsidR="000376AE" w:rsidRPr="00695EBD" w:rsidRDefault="000376AE" w:rsidP="00695EBD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  <w:t>4.5 to less than 5</w:t>
            </w:r>
          </w:p>
        </w:tc>
        <w:tc>
          <w:tcPr>
            <w:tcW w:w="3209" w:type="dxa"/>
          </w:tcPr>
          <w:p w:rsidR="000376AE" w:rsidRPr="00695EBD" w:rsidRDefault="000376AE" w:rsidP="00695EBD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  <w:t xml:space="preserve">85 </w:t>
            </w:r>
            <w:r w:rsidR="00D56D25"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  <w:t>to</w:t>
            </w: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  <w:t xml:space="preserve"> less than 90%</w:t>
            </w:r>
          </w:p>
        </w:tc>
        <w:tc>
          <w:tcPr>
            <w:tcW w:w="1440" w:type="dxa"/>
          </w:tcPr>
          <w:p w:rsidR="000376AE" w:rsidRPr="00695EBD" w:rsidRDefault="000376AE" w:rsidP="00695EB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  <w:t>A</w:t>
            </w:r>
          </w:p>
        </w:tc>
        <w:tc>
          <w:tcPr>
            <w:tcW w:w="1800" w:type="dxa"/>
            <w:vMerge/>
          </w:tcPr>
          <w:p w:rsidR="000376AE" w:rsidRPr="00695EBD" w:rsidRDefault="000376AE" w:rsidP="00695EBD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</w:pPr>
          </w:p>
        </w:tc>
      </w:tr>
      <w:tr w:rsidR="000376AE" w:rsidRPr="00193366" w:rsidTr="00695EBD">
        <w:trPr>
          <w:trHeight w:val="374"/>
        </w:trPr>
        <w:tc>
          <w:tcPr>
            <w:tcW w:w="2029" w:type="dxa"/>
          </w:tcPr>
          <w:p w:rsidR="000376AE" w:rsidRPr="00695EBD" w:rsidRDefault="000376AE" w:rsidP="00695EBD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  <w:t>4 to less than 4.5</w:t>
            </w:r>
          </w:p>
        </w:tc>
        <w:tc>
          <w:tcPr>
            <w:tcW w:w="3209" w:type="dxa"/>
          </w:tcPr>
          <w:p w:rsidR="000376AE" w:rsidRPr="00695EBD" w:rsidRDefault="000376AE" w:rsidP="00695EBD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  <w:t xml:space="preserve">80 </w:t>
            </w:r>
            <w:r w:rsidR="00D56D25"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  <w:t>to</w:t>
            </w: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  <w:t xml:space="preserve"> less than 85%</w:t>
            </w:r>
          </w:p>
        </w:tc>
        <w:tc>
          <w:tcPr>
            <w:tcW w:w="1440" w:type="dxa"/>
          </w:tcPr>
          <w:p w:rsidR="000376AE" w:rsidRPr="00695EBD" w:rsidRDefault="000376AE" w:rsidP="00695EB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  <w:t>B+</w:t>
            </w:r>
          </w:p>
        </w:tc>
        <w:tc>
          <w:tcPr>
            <w:tcW w:w="1800" w:type="dxa"/>
            <w:vMerge w:val="restart"/>
          </w:tcPr>
          <w:p w:rsidR="00695EBD" w:rsidRDefault="00695EBD" w:rsidP="00695EBD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</w:pPr>
          </w:p>
          <w:p w:rsidR="000376AE" w:rsidRPr="00695EBD" w:rsidRDefault="000376AE" w:rsidP="00695EB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  <w:t>Very Good</w:t>
            </w:r>
          </w:p>
        </w:tc>
      </w:tr>
      <w:tr w:rsidR="000376AE" w:rsidRPr="00193366" w:rsidTr="00695EBD">
        <w:trPr>
          <w:trHeight w:val="437"/>
        </w:trPr>
        <w:tc>
          <w:tcPr>
            <w:tcW w:w="2029" w:type="dxa"/>
          </w:tcPr>
          <w:p w:rsidR="000376AE" w:rsidRPr="00695EBD" w:rsidRDefault="000376AE" w:rsidP="00695EBD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  <w:t>3.5 to less than 4</w:t>
            </w:r>
          </w:p>
        </w:tc>
        <w:tc>
          <w:tcPr>
            <w:tcW w:w="3209" w:type="dxa"/>
          </w:tcPr>
          <w:p w:rsidR="000376AE" w:rsidRPr="00695EBD" w:rsidRDefault="000376AE" w:rsidP="00695EBD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  <w:t xml:space="preserve">75 </w:t>
            </w:r>
            <w:r w:rsidR="00D56D25"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  <w:t>to</w:t>
            </w: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  <w:t xml:space="preserve"> less than 80%</w:t>
            </w:r>
          </w:p>
        </w:tc>
        <w:tc>
          <w:tcPr>
            <w:tcW w:w="1440" w:type="dxa"/>
          </w:tcPr>
          <w:p w:rsidR="000376AE" w:rsidRPr="00695EBD" w:rsidRDefault="000376AE" w:rsidP="00695EB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  <w:t>B</w:t>
            </w:r>
          </w:p>
        </w:tc>
        <w:tc>
          <w:tcPr>
            <w:tcW w:w="1800" w:type="dxa"/>
            <w:vMerge/>
          </w:tcPr>
          <w:p w:rsidR="000376AE" w:rsidRPr="00695EBD" w:rsidRDefault="000376AE" w:rsidP="00695EBD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</w:pPr>
          </w:p>
        </w:tc>
      </w:tr>
      <w:tr w:rsidR="000376AE" w:rsidRPr="00193366" w:rsidTr="00695EBD">
        <w:trPr>
          <w:trHeight w:val="433"/>
        </w:trPr>
        <w:tc>
          <w:tcPr>
            <w:tcW w:w="2029" w:type="dxa"/>
          </w:tcPr>
          <w:p w:rsidR="000376AE" w:rsidRPr="00695EBD" w:rsidRDefault="000376AE" w:rsidP="00695EBD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  <w:t>3 to less than 3.5</w:t>
            </w:r>
          </w:p>
        </w:tc>
        <w:tc>
          <w:tcPr>
            <w:tcW w:w="3209" w:type="dxa"/>
          </w:tcPr>
          <w:p w:rsidR="000376AE" w:rsidRPr="00695EBD" w:rsidRDefault="00D56D25" w:rsidP="00695EBD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  <w:t>70 to</w:t>
            </w:r>
            <w:r w:rsidR="000376AE"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  <w:t xml:space="preserve"> less than 75%</w:t>
            </w:r>
          </w:p>
        </w:tc>
        <w:tc>
          <w:tcPr>
            <w:tcW w:w="1440" w:type="dxa"/>
          </w:tcPr>
          <w:p w:rsidR="000376AE" w:rsidRPr="00695EBD" w:rsidRDefault="000376AE" w:rsidP="00695EB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  <w:t>C+</w:t>
            </w:r>
          </w:p>
        </w:tc>
        <w:tc>
          <w:tcPr>
            <w:tcW w:w="1800" w:type="dxa"/>
            <w:vMerge w:val="restart"/>
          </w:tcPr>
          <w:p w:rsidR="00695EBD" w:rsidRDefault="00695EBD" w:rsidP="00695EBD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</w:pPr>
          </w:p>
          <w:p w:rsidR="000376AE" w:rsidRPr="00695EBD" w:rsidRDefault="000376AE" w:rsidP="00695EB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  <w:t>Good</w:t>
            </w:r>
          </w:p>
        </w:tc>
      </w:tr>
      <w:tr w:rsidR="000376AE" w:rsidRPr="00193366" w:rsidTr="00695EBD">
        <w:trPr>
          <w:trHeight w:val="433"/>
        </w:trPr>
        <w:tc>
          <w:tcPr>
            <w:tcW w:w="2029" w:type="dxa"/>
          </w:tcPr>
          <w:p w:rsidR="000376AE" w:rsidRPr="00695EBD" w:rsidRDefault="000376AE" w:rsidP="00695EBD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  <w:t>2.5 to less than 3</w:t>
            </w:r>
          </w:p>
        </w:tc>
        <w:tc>
          <w:tcPr>
            <w:tcW w:w="3209" w:type="dxa"/>
          </w:tcPr>
          <w:p w:rsidR="000376AE" w:rsidRPr="00695EBD" w:rsidRDefault="000376AE" w:rsidP="00695EBD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  <w:t xml:space="preserve">65 </w:t>
            </w:r>
            <w:r w:rsidR="00D56D25"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  <w:t>to</w:t>
            </w: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  <w:t xml:space="preserve"> less than 70%</w:t>
            </w:r>
          </w:p>
        </w:tc>
        <w:tc>
          <w:tcPr>
            <w:tcW w:w="1440" w:type="dxa"/>
          </w:tcPr>
          <w:p w:rsidR="000376AE" w:rsidRPr="00695EBD" w:rsidRDefault="000376AE" w:rsidP="00695EB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  <w:t>C</w:t>
            </w:r>
          </w:p>
        </w:tc>
        <w:tc>
          <w:tcPr>
            <w:tcW w:w="1800" w:type="dxa"/>
            <w:vMerge/>
          </w:tcPr>
          <w:p w:rsidR="000376AE" w:rsidRPr="00695EBD" w:rsidRDefault="000376AE" w:rsidP="00695EBD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</w:pPr>
          </w:p>
        </w:tc>
      </w:tr>
      <w:tr w:rsidR="000376AE" w:rsidRPr="00193366" w:rsidTr="00695EBD">
        <w:trPr>
          <w:trHeight w:val="446"/>
        </w:trPr>
        <w:tc>
          <w:tcPr>
            <w:tcW w:w="2029" w:type="dxa"/>
          </w:tcPr>
          <w:p w:rsidR="000376AE" w:rsidRPr="00695EBD" w:rsidRDefault="000376AE" w:rsidP="00695EBD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  <w:t>2 to less than 2.5</w:t>
            </w:r>
          </w:p>
        </w:tc>
        <w:tc>
          <w:tcPr>
            <w:tcW w:w="3209" w:type="dxa"/>
          </w:tcPr>
          <w:p w:rsidR="000376AE" w:rsidRPr="00695EBD" w:rsidRDefault="000376AE" w:rsidP="00695EBD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  <w:t xml:space="preserve">60 </w:t>
            </w:r>
            <w:r w:rsidR="00D56D25"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  <w:t>to</w:t>
            </w: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  <w:t xml:space="preserve"> less than  65%</w:t>
            </w:r>
          </w:p>
        </w:tc>
        <w:tc>
          <w:tcPr>
            <w:tcW w:w="1440" w:type="dxa"/>
          </w:tcPr>
          <w:p w:rsidR="000376AE" w:rsidRPr="00695EBD" w:rsidRDefault="000376AE" w:rsidP="00695EB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  <w:t>D</w:t>
            </w:r>
          </w:p>
        </w:tc>
        <w:tc>
          <w:tcPr>
            <w:tcW w:w="1800" w:type="dxa"/>
          </w:tcPr>
          <w:p w:rsidR="000376AE" w:rsidRPr="00695EBD" w:rsidRDefault="000376AE" w:rsidP="00695EB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  <w:t>Pass</w:t>
            </w:r>
          </w:p>
        </w:tc>
      </w:tr>
      <w:tr w:rsidR="000376AE" w:rsidRPr="00193366" w:rsidTr="00695EBD">
        <w:trPr>
          <w:trHeight w:val="433"/>
        </w:trPr>
        <w:tc>
          <w:tcPr>
            <w:tcW w:w="2029" w:type="dxa"/>
          </w:tcPr>
          <w:p w:rsidR="000376AE" w:rsidRPr="00695EBD" w:rsidRDefault="00222915" w:rsidP="00695EBD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  <w:t>Zero</w:t>
            </w:r>
          </w:p>
        </w:tc>
        <w:tc>
          <w:tcPr>
            <w:tcW w:w="3209" w:type="dxa"/>
          </w:tcPr>
          <w:p w:rsidR="000376AE" w:rsidRPr="00695EBD" w:rsidRDefault="000376AE" w:rsidP="00695EBD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  <w:t>Less than 60%</w:t>
            </w:r>
          </w:p>
        </w:tc>
        <w:tc>
          <w:tcPr>
            <w:tcW w:w="1440" w:type="dxa"/>
          </w:tcPr>
          <w:p w:rsidR="000376AE" w:rsidRPr="00695EBD" w:rsidRDefault="000376AE" w:rsidP="00695EB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  <w:t>F</w:t>
            </w:r>
          </w:p>
        </w:tc>
        <w:tc>
          <w:tcPr>
            <w:tcW w:w="1800" w:type="dxa"/>
          </w:tcPr>
          <w:p w:rsidR="000376AE" w:rsidRPr="00695EBD" w:rsidRDefault="000376AE" w:rsidP="00695EB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 w:bidi="ar-EG"/>
              </w:rPr>
              <w:t>Failing</w:t>
            </w:r>
          </w:p>
        </w:tc>
      </w:tr>
    </w:tbl>
    <w:p w:rsidR="007539F7" w:rsidRPr="007278FF" w:rsidRDefault="007539F7" w:rsidP="00695EBD">
      <w:pPr>
        <w:spacing w:before="360" w:after="0" w:line="312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</w:pPr>
      <w:r w:rsidRPr="007278F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  <w:t>Article 14: Failing in Cou</w:t>
      </w:r>
      <w:r w:rsidR="007278FF" w:rsidRPr="007278F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  <w:t>r</w:t>
      </w:r>
      <w:r w:rsidRPr="007278F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EG"/>
        </w:rPr>
        <w:t>ses</w:t>
      </w:r>
    </w:p>
    <w:p w:rsidR="007539F7" w:rsidRPr="007539F7" w:rsidRDefault="007278FF" w:rsidP="00695EBD">
      <w:pPr>
        <w:widowControl w:val="0"/>
        <w:tabs>
          <w:tab w:val="left" w:pos="609"/>
          <w:tab w:val="left" w:pos="1084"/>
        </w:tabs>
        <w:autoSpaceDE w:val="0"/>
        <w:autoSpaceDN w:val="0"/>
        <w:adjustRightInd w:val="0"/>
        <w:spacing w:after="0" w:line="312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  <w:r>
        <w:rPr>
          <w:rFonts w:asciiTheme="majorBidi" w:hAnsiTheme="majorBidi" w:cstheme="majorBidi"/>
          <w:sz w:val="26"/>
          <w:szCs w:val="26"/>
          <w:lang w:bidi="ar-EG"/>
        </w:rPr>
        <w:t>To succeed in the course,</w:t>
      </w:r>
      <w:r w:rsidR="007539F7" w:rsidRPr="007539F7">
        <w:rPr>
          <w:rFonts w:asciiTheme="majorBidi" w:hAnsiTheme="majorBidi" w:cstheme="majorBidi"/>
          <w:sz w:val="26"/>
          <w:szCs w:val="26"/>
          <w:lang w:bidi="ar-EG"/>
        </w:rPr>
        <w:t xml:space="preserve"> the student </w:t>
      </w:r>
      <w:r>
        <w:rPr>
          <w:rFonts w:asciiTheme="majorBidi" w:hAnsiTheme="majorBidi" w:cstheme="majorBidi"/>
          <w:sz w:val="26"/>
          <w:szCs w:val="26"/>
          <w:lang w:bidi="ar-EG"/>
        </w:rPr>
        <w:t>should get</w:t>
      </w:r>
      <w:r w:rsidR="007539F7"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ar-EG"/>
        </w:rPr>
        <w:t>at least</w:t>
      </w:r>
      <w:r w:rsidR="007539F7">
        <w:rPr>
          <w:rFonts w:asciiTheme="majorBidi" w:hAnsiTheme="majorBidi" w:cstheme="majorBidi"/>
          <w:sz w:val="26"/>
          <w:szCs w:val="26"/>
          <w:lang w:bidi="ar-EG"/>
        </w:rPr>
        <w:t xml:space="preserve"> 60% of the total marks of the course, </w:t>
      </w:r>
      <w:r>
        <w:rPr>
          <w:rFonts w:asciiTheme="majorBidi" w:hAnsiTheme="majorBidi" w:cstheme="majorBidi"/>
          <w:sz w:val="26"/>
          <w:szCs w:val="26"/>
          <w:lang w:bidi="ar-EG"/>
        </w:rPr>
        <w:t xml:space="preserve">otherwise </w:t>
      </w:r>
      <w:r w:rsidR="007539F7">
        <w:rPr>
          <w:rFonts w:asciiTheme="majorBidi" w:hAnsiTheme="majorBidi" w:cstheme="majorBidi"/>
          <w:sz w:val="26"/>
          <w:szCs w:val="26"/>
          <w:lang w:bidi="ar-EG"/>
        </w:rPr>
        <w:t>he/she will be considered failing</w:t>
      </w:r>
      <w:r w:rsidR="00A04611">
        <w:rPr>
          <w:rFonts w:asciiTheme="majorBidi" w:hAnsiTheme="majorBidi" w:cstheme="majorBidi"/>
          <w:sz w:val="26"/>
          <w:szCs w:val="26"/>
          <w:lang w:bidi="ar-EG"/>
        </w:rPr>
        <w:t>.</w:t>
      </w:r>
      <w:r w:rsidR="007539F7"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 w:rsidR="00A04611">
        <w:rPr>
          <w:rFonts w:asciiTheme="majorBidi" w:hAnsiTheme="majorBidi" w:cstheme="majorBidi"/>
          <w:sz w:val="26"/>
          <w:szCs w:val="26"/>
          <w:lang w:bidi="ar-EG"/>
        </w:rPr>
        <w:t xml:space="preserve">The Failing student </w:t>
      </w:r>
      <w:r w:rsidR="007539F7">
        <w:rPr>
          <w:rFonts w:asciiTheme="majorBidi" w:hAnsiTheme="majorBidi" w:cstheme="majorBidi"/>
          <w:sz w:val="26"/>
          <w:szCs w:val="26"/>
          <w:lang w:bidi="ar-EG"/>
        </w:rPr>
        <w:t xml:space="preserve">is allowed </w:t>
      </w:r>
      <w:r w:rsidR="00A04611">
        <w:rPr>
          <w:rFonts w:asciiTheme="majorBidi" w:hAnsiTheme="majorBidi" w:cstheme="majorBidi"/>
          <w:sz w:val="26"/>
          <w:szCs w:val="26"/>
          <w:lang w:bidi="ar-EG"/>
        </w:rPr>
        <w:t xml:space="preserve">two other chances </w:t>
      </w:r>
      <w:r w:rsidR="007539F7">
        <w:rPr>
          <w:rFonts w:asciiTheme="majorBidi" w:hAnsiTheme="majorBidi" w:cstheme="majorBidi"/>
          <w:sz w:val="26"/>
          <w:szCs w:val="26"/>
          <w:lang w:bidi="ar-EG"/>
        </w:rPr>
        <w:t xml:space="preserve">to re-register, attend, and </w:t>
      </w:r>
      <w:r w:rsidR="00B345A8">
        <w:rPr>
          <w:rFonts w:asciiTheme="majorBidi" w:hAnsiTheme="majorBidi" w:cstheme="majorBidi"/>
          <w:sz w:val="26"/>
          <w:szCs w:val="26"/>
          <w:lang w:bidi="ar-EG"/>
        </w:rPr>
        <w:t xml:space="preserve">apply for the </w:t>
      </w:r>
      <w:r w:rsidR="007539F7">
        <w:rPr>
          <w:rFonts w:asciiTheme="majorBidi" w:hAnsiTheme="majorBidi" w:cstheme="majorBidi"/>
          <w:sz w:val="26"/>
          <w:szCs w:val="26"/>
          <w:lang w:bidi="ar-EG"/>
        </w:rPr>
        <w:t>exam in the same course.</w:t>
      </w:r>
    </w:p>
    <w:p w:rsidR="00DB43CE" w:rsidRPr="00A04611" w:rsidRDefault="00DB43CE" w:rsidP="00695EBD">
      <w:pPr>
        <w:widowControl w:val="0"/>
        <w:tabs>
          <w:tab w:val="left" w:pos="609"/>
          <w:tab w:val="left" w:pos="1084"/>
        </w:tabs>
        <w:autoSpaceDE w:val="0"/>
        <w:autoSpaceDN w:val="0"/>
        <w:adjustRightInd w:val="0"/>
        <w:spacing w:before="120" w:after="0" w:line="312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A04611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Article 15: Calculation of GPA</w:t>
      </w:r>
    </w:p>
    <w:p w:rsidR="00DB43CE" w:rsidRPr="00193366" w:rsidRDefault="00DB43CE" w:rsidP="00695EBD">
      <w:pPr>
        <w:widowControl w:val="0"/>
        <w:tabs>
          <w:tab w:val="left" w:pos="609"/>
          <w:tab w:val="left" w:pos="1084"/>
        </w:tabs>
        <w:autoSpaceDE w:val="0"/>
        <w:autoSpaceDN w:val="0"/>
        <w:adjustRightInd w:val="0"/>
        <w:spacing w:after="0" w:line="312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193366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The semester Grade Point Average (GPA) represents the courses studied in 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>a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semes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ter and is computed as follows: Sum of 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</w:rPr>
        <w:t>multiplying the number of grade points obtained by th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>e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student in 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each course by 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</w:rPr>
        <w:t>the number of credit hours of th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>at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course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>, for all courses accomplished by the student,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divided by the 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>total number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of hours 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>in the semester -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to the nearest two decimal numbers.</w:t>
      </w:r>
    </w:p>
    <w:p w:rsidR="00DB43CE" w:rsidRPr="008B1958" w:rsidRDefault="00DB43CE" w:rsidP="008B1958">
      <w:pPr>
        <w:widowControl w:val="0"/>
        <w:tabs>
          <w:tab w:val="left" w:pos="609"/>
          <w:tab w:val="left" w:pos="1084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</w:pPr>
      <w:r w:rsidRPr="00193366">
        <w:rPr>
          <w:rFonts w:asciiTheme="majorBidi" w:hAnsiTheme="majorBidi" w:cstheme="majorBidi"/>
          <w:color w:val="000000" w:themeColor="text1"/>
          <w:sz w:val="26"/>
          <w:szCs w:val="26"/>
        </w:rPr>
        <w:t>GPA=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  <w:u w:val="single"/>
        </w:rPr>
        <w:t xml:space="preserve"> </w:t>
      </w:r>
      <w:r w:rsidRPr="008B1958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Sum of Grade Points of all courses completed by the student</w:t>
      </w:r>
      <w:r w:rsidR="008B1958" w:rsidRPr="008B1958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 xml:space="preserve"> in the semester</w:t>
      </w:r>
    </w:p>
    <w:p w:rsidR="00DB43CE" w:rsidRPr="008B1958" w:rsidRDefault="00DB43CE" w:rsidP="008B1958">
      <w:pPr>
        <w:widowControl w:val="0"/>
        <w:tabs>
          <w:tab w:val="left" w:pos="609"/>
          <w:tab w:val="left" w:pos="1084"/>
        </w:tabs>
        <w:autoSpaceDE w:val="0"/>
        <w:autoSpaceDN w:val="0"/>
        <w:adjustRightInd w:val="0"/>
        <w:spacing w:after="0" w:line="240" w:lineRule="auto"/>
        <w:ind w:firstLine="81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B1958">
        <w:rPr>
          <w:rFonts w:asciiTheme="majorBidi" w:hAnsiTheme="majorBidi" w:cstheme="majorBidi"/>
          <w:color w:val="000000" w:themeColor="text1"/>
          <w:sz w:val="24"/>
          <w:szCs w:val="24"/>
        </w:rPr>
        <w:t>Sum of credits hours of all courses completed by the student</w:t>
      </w:r>
      <w:r w:rsidR="008B19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the semester</w:t>
      </w:r>
    </w:p>
    <w:p w:rsidR="008B1958" w:rsidRPr="00193366" w:rsidRDefault="008B1958" w:rsidP="008B1958">
      <w:pPr>
        <w:widowControl w:val="0"/>
        <w:tabs>
          <w:tab w:val="left" w:pos="609"/>
          <w:tab w:val="left" w:pos="1084"/>
        </w:tabs>
        <w:autoSpaceDE w:val="0"/>
        <w:autoSpaceDN w:val="0"/>
        <w:adjustRightInd w:val="0"/>
        <w:spacing w:after="0" w:line="240" w:lineRule="auto"/>
        <w:ind w:left="720"/>
        <w:jc w:val="lowKashida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:rsidR="00DB43CE" w:rsidRPr="00193366" w:rsidRDefault="00DB43CE" w:rsidP="00695EBD">
      <w:pPr>
        <w:widowControl w:val="0"/>
        <w:tabs>
          <w:tab w:val="left" w:pos="609"/>
          <w:tab w:val="left" w:pos="1084"/>
        </w:tabs>
        <w:autoSpaceDE w:val="0"/>
        <w:autoSpaceDN w:val="0"/>
        <w:adjustRightInd w:val="0"/>
        <w:spacing w:after="0" w:line="312" w:lineRule="auto"/>
        <w:jc w:val="lowKashida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193366">
        <w:rPr>
          <w:rFonts w:asciiTheme="majorBidi" w:hAnsiTheme="majorBidi" w:cstheme="majorBidi"/>
          <w:color w:val="000000" w:themeColor="text1"/>
          <w:sz w:val="26"/>
          <w:szCs w:val="26"/>
        </w:rPr>
        <w:t>The Cumulative GPA (CGPA) is the average of all final grades obtained by the student within the program to the nearest two decimal numbers. It is calculated as follows:</w:t>
      </w:r>
    </w:p>
    <w:p w:rsidR="00DB43CE" w:rsidRPr="008B1958" w:rsidRDefault="00DB43CE" w:rsidP="008B1958">
      <w:pPr>
        <w:widowControl w:val="0"/>
        <w:tabs>
          <w:tab w:val="left" w:pos="609"/>
          <w:tab w:val="left" w:pos="1084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B19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CGPA= </w:t>
      </w:r>
      <w:r w:rsidRPr="008B1958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Sum of Grade Points of all course</w:t>
      </w:r>
      <w:r w:rsidR="008B1958" w:rsidRPr="008B1958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s</w:t>
      </w:r>
      <w:r w:rsidRPr="008B1958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 xml:space="preserve"> completed by the student</w:t>
      </w:r>
      <w:r w:rsidR="008B1958" w:rsidRPr="008B1958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 xml:space="preserve"> in the program</w:t>
      </w:r>
    </w:p>
    <w:p w:rsidR="00DB43CE" w:rsidRDefault="00DB43CE" w:rsidP="008B1958">
      <w:pPr>
        <w:widowControl w:val="0"/>
        <w:tabs>
          <w:tab w:val="left" w:pos="609"/>
          <w:tab w:val="left" w:pos="1084"/>
        </w:tabs>
        <w:autoSpaceDE w:val="0"/>
        <w:autoSpaceDN w:val="0"/>
        <w:adjustRightInd w:val="0"/>
        <w:spacing w:after="24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B1958">
        <w:rPr>
          <w:rFonts w:asciiTheme="majorBidi" w:hAnsiTheme="majorBidi" w:cstheme="majorBidi"/>
          <w:color w:val="000000" w:themeColor="text1"/>
          <w:sz w:val="24"/>
          <w:szCs w:val="24"/>
        </w:rPr>
        <w:t>Sum of credits hours of all courses</w:t>
      </w:r>
      <w:r w:rsidR="008B19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the program</w:t>
      </w:r>
    </w:p>
    <w:p w:rsidR="00DA78BE" w:rsidRDefault="00DA78BE" w:rsidP="008B1958">
      <w:pPr>
        <w:widowControl w:val="0"/>
        <w:tabs>
          <w:tab w:val="left" w:pos="609"/>
          <w:tab w:val="left" w:pos="1084"/>
        </w:tabs>
        <w:autoSpaceDE w:val="0"/>
        <w:autoSpaceDN w:val="0"/>
        <w:adjustRightInd w:val="0"/>
        <w:spacing w:after="24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DA78BE" w:rsidRDefault="00DA78BE" w:rsidP="008B1958">
      <w:pPr>
        <w:widowControl w:val="0"/>
        <w:tabs>
          <w:tab w:val="left" w:pos="609"/>
          <w:tab w:val="left" w:pos="1084"/>
        </w:tabs>
        <w:autoSpaceDE w:val="0"/>
        <w:autoSpaceDN w:val="0"/>
        <w:adjustRightInd w:val="0"/>
        <w:spacing w:after="24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026"/>
        <w:gridCol w:w="1584"/>
        <w:gridCol w:w="4230"/>
      </w:tblGrid>
      <w:tr w:rsidR="000376AE" w:rsidRPr="00193366" w:rsidTr="00695EBD">
        <w:tc>
          <w:tcPr>
            <w:tcW w:w="8388" w:type="dxa"/>
            <w:gridSpan w:val="4"/>
          </w:tcPr>
          <w:p w:rsidR="000376AE" w:rsidRPr="00695EBD" w:rsidRDefault="008B1958" w:rsidP="008B1958">
            <w:pPr>
              <w:widowControl w:val="0"/>
              <w:tabs>
                <w:tab w:val="left" w:pos="609"/>
                <w:tab w:val="left" w:pos="1084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lastRenderedPageBreak/>
              <w:t>T</w:t>
            </w:r>
            <w:r w:rsidR="000376AE"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he relation between the General Grade</w:t>
            </w: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0376AE"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and CGPA</w:t>
            </w:r>
          </w:p>
        </w:tc>
      </w:tr>
      <w:tr w:rsidR="000376AE" w:rsidRPr="00193366" w:rsidTr="00695EBD">
        <w:tc>
          <w:tcPr>
            <w:tcW w:w="1548" w:type="dxa"/>
          </w:tcPr>
          <w:p w:rsidR="000376AE" w:rsidRPr="00695EBD" w:rsidRDefault="000376AE" w:rsidP="008B1958">
            <w:pPr>
              <w:widowControl w:val="0"/>
              <w:tabs>
                <w:tab w:val="left" w:pos="609"/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Grade</w:t>
            </w:r>
          </w:p>
        </w:tc>
        <w:tc>
          <w:tcPr>
            <w:tcW w:w="1026" w:type="dxa"/>
          </w:tcPr>
          <w:p w:rsidR="000376AE" w:rsidRPr="00695EBD" w:rsidRDefault="000376AE" w:rsidP="008B1958">
            <w:pPr>
              <w:widowControl w:val="0"/>
              <w:tabs>
                <w:tab w:val="left" w:pos="609"/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Symbol</w:t>
            </w:r>
          </w:p>
        </w:tc>
        <w:tc>
          <w:tcPr>
            <w:tcW w:w="1584" w:type="dxa"/>
          </w:tcPr>
          <w:p w:rsidR="000376AE" w:rsidRPr="00695EBD" w:rsidRDefault="000376AE" w:rsidP="008B1958">
            <w:pPr>
              <w:widowControl w:val="0"/>
              <w:tabs>
                <w:tab w:val="left" w:pos="609"/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CGPA</w:t>
            </w:r>
            <w:r w:rsidR="000846F6"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**</w:t>
            </w:r>
          </w:p>
        </w:tc>
        <w:tc>
          <w:tcPr>
            <w:tcW w:w="4230" w:type="dxa"/>
          </w:tcPr>
          <w:p w:rsidR="000376AE" w:rsidRPr="00695EBD" w:rsidRDefault="000376AE" w:rsidP="000846F6">
            <w:pPr>
              <w:widowControl w:val="0"/>
              <w:tabs>
                <w:tab w:val="left" w:pos="609"/>
                <w:tab w:val="left" w:pos="10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Percentage of Cumulative </w:t>
            </w:r>
            <w:r w:rsidR="000846F6"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Points</w:t>
            </w:r>
          </w:p>
        </w:tc>
      </w:tr>
      <w:tr w:rsidR="000376AE" w:rsidRPr="00193366" w:rsidTr="00695EBD">
        <w:tc>
          <w:tcPr>
            <w:tcW w:w="1548" w:type="dxa"/>
            <w:vMerge w:val="restart"/>
          </w:tcPr>
          <w:p w:rsidR="000376AE" w:rsidRPr="00695EBD" w:rsidRDefault="000376AE" w:rsidP="00193366">
            <w:pPr>
              <w:widowControl w:val="0"/>
              <w:tabs>
                <w:tab w:val="left" w:pos="609"/>
                <w:tab w:val="left" w:pos="108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Excellent</w:t>
            </w:r>
          </w:p>
        </w:tc>
        <w:tc>
          <w:tcPr>
            <w:tcW w:w="1026" w:type="dxa"/>
          </w:tcPr>
          <w:p w:rsidR="000376AE" w:rsidRPr="00695EBD" w:rsidRDefault="000376AE" w:rsidP="00193366">
            <w:pPr>
              <w:widowControl w:val="0"/>
              <w:tabs>
                <w:tab w:val="left" w:pos="609"/>
                <w:tab w:val="left" w:pos="108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A+</w:t>
            </w:r>
          </w:p>
        </w:tc>
        <w:tc>
          <w:tcPr>
            <w:tcW w:w="1584" w:type="dxa"/>
          </w:tcPr>
          <w:p w:rsidR="000376AE" w:rsidRPr="00695EBD" w:rsidRDefault="000376AE" w:rsidP="00193366">
            <w:pPr>
              <w:widowControl w:val="0"/>
              <w:tabs>
                <w:tab w:val="left" w:pos="609"/>
                <w:tab w:val="left" w:pos="108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  <w:tc>
          <w:tcPr>
            <w:tcW w:w="4230" w:type="dxa"/>
          </w:tcPr>
          <w:p w:rsidR="000376AE" w:rsidRPr="00695EBD" w:rsidRDefault="000376AE" w:rsidP="00193366">
            <w:pPr>
              <w:widowControl w:val="0"/>
              <w:tabs>
                <w:tab w:val="left" w:pos="609"/>
                <w:tab w:val="left" w:pos="108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Greater than or equal to 90%</w:t>
            </w:r>
          </w:p>
        </w:tc>
      </w:tr>
      <w:tr w:rsidR="000376AE" w:rsidRPr="00193366" w:rsidTr="00695EBD">
        <w:tc>
          <w:tcPr>
            <w:tcW w:w="1548" w:type="dxa"/>
            <w:vMerge/>
          </w:tcPr>
          <w:p w:rsidR="000376AE" w:rsidRPr="00695EBD" w:rsidRDefault="000376AE" w:rsidP="00193366">
            <w:pPr>
              <w:widowControl w:val="0"/>
              <w:tabs>
                <w:tab w:val="left" w:pos="609"/>
                <w:tab w:val="left" w:pos="108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026" w:type="dxa"/>
          </w:tcPr>
          <w:p w:rsidR="000376AE" w:rsidRPr="00695EBD" w:rsidRDefault="000376AE" w:rsidP="00193366">
            <w:pPr>
              <w:widowControl w:val="0"/>
              <w:tabs>
                <w:tab w:val="left" w:pos="609"/>
                <w:tab w:val="left" w:pos="108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A</w:t>
            </w:r>
          </w:p>
        </w:tc>
        <w:tc>
          <w:tcPr>
            <w:tcW w:w="1584" w:type="dxa"/>
          </w:tcPr>
          <w:p w:rsidR="000376AE" w:rsidRPr="00695EBD" w:rsidRDefault="000376AE" w:rsidP="00193366">
            <w:pPr>
              <w:widowControl w:val="0"/>
              <w:tabs>
                <w:tab w:val="left" w:pos="609"/>
                <w:tab w:val="left" w:pos="108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4.5-&lt;5</w:t>
            </w:r>
          </w:p>
        </w:tc>
        <w:tc>
          <w:tcPr>
            <w:tcW w:w="4230" w:type="dxa"/>
          </w:tcPr>
          <w:p w:rsidR="000376AE" w:rsidRPr="00695EBD" w:rsidRDefault="000376AE" w:rsidP="000846F6">
            <w:pPr>
              <w:widowControl w:val="0"/>
              <w:tabs>
                <w:tab w:val="left" w:pos="609"/>
                <w:tab w:val="left" w:pos="108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85 </w:t>
            </w:r>
            <w:r w:rsidR="000846F6"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to</w:t>
            </w: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 less than90%</w:t>
            </w:r>
          </w:p>
        </w:tc>
      </w:tr>
      <w:tr w:rsidR="000376AE" w:rsidRPr="00193366" w:rsidTr="00695EBD">
        <w:tc>
          <w:tcPr>
            <w:tcW w:w="1548" w:type="dxa"/>
            <w:vMerge w:val="restart"/>
          </w:tcPr>
          <w:p w:rsidR="000376AE" w:rsidRPr="00695EBD" w:rsidRDefault="000376AE" w:rsidP="00193366">
            <w:pPr>
              <w:widowControl w:val="0"/>
              <w:tabs>
                <w:tab w:val="left" w:pos="609"/>
                <w:tab w:val="left" w:pos="108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Very Good</w:t>
            </w:r>
          </w:p>
        </w:tc>
        <w:tc>
          <w:tcPr>
            <w:tcW w:w="1026" w:type="dxa"/>
          </w:tcPr>
          <w:p w:rsidR="000376AE" w:rsidRPr="00695EBD" w:rsidRDefault="000376AE" w:rsidP="00193366">
            <w:pPr>
              <w:widowControl w:val="0"/>
              <w:tabs>
                <w:tab w:val="left" w:pos="609"/>
                <w:tab w:val="left" w:pos="108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B+</w:t>
            </w:r>
          </w:p>
        </w:tc>
        <w:tc>
          <w:tcPr>
            <w:tcW w:w="1584" w:type="dxa"/>
          </w:tcPr>
          <w:p w:rsidR="000376AE" w:rsidRPr="00695EBD" w:rsidRDefault="000376AE" w:rsidP="00193366">
            <w:pPr>
              <w:widowControl w:val="0"/>
              <w:tabs>
                <w:tab w:val="left" w:pos="609"/>
                <w:tab w:val="left" w:pos="108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4- &lt;4.5</w:t>
            </w:r>
          </w:p>
        </w:tc>
        <w:tc>
          <w:tcPr>
            <w:tcW w:w="4230" w:type="dxa"/>
          </w:tcPr>
          <w:p w:rsidR="000376AE" w:rsidRPr="00695EBD" w:rsidRDefault="000376AE" w:rsidP="00193366">
            <w:pPr>
              <w:widowControl w:val="0"/>
              <w:tabs>
                <w:tab w:val="left" w:pos="609"/>
                <w:tab w:val="left" w:pos="108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80 </w:t>
            </w:r>
            <w:r w:rsidR="000846F6"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to</w:t>
            </w: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 less than 85%</w:t>
            </w:r>
          </w:p>
        </w:tc>
      </w:tr>
      <w:tr w:rsidR="000376AE" w:rsidRPr="00193366" w:rsidTr="00695EBD">
        <w:tc>
          <w:tcPr>
            <w:tcW w:w="1548" w:type="dxa"/>
            <w:vMerge/>
          </w:tcPr>
          <w:p w:rsidR="000376AE" w:rsidRPr="00695EBD" w:rsidRDefault="000376AE" w:rsidP="00193366">
            <w:pPr>
              <w:widowControl w:val="0"/>
              <w:tabs>
                <w:tab w:val="left" w:pos="609"/>
                <w:tab w:val="left" w:pos="108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026" w:type="dxa"/>
          </w:tcPr>
          <w:p w:rsidR="000376AE" w:rsidRPr="00695EBD" w:rsidRDefault="000376AE" w:rsidP="00193366">
            <w:pPr>
              <w:widowControl w:val="0"/>
              <w:tabs>
                <w:tab w:val="left" w:pos="609"/>
                <w:tab w:val="left" w:pos="108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B</w:t>
            </w:r>
          </w:p>
        </w:tc>
        <w:tc>
          <w:tcPr>
            <w:tcW w:w="1584" w:type="dxa"/>
          </w:tcPr>
          <w:p w:rsidR="000376AE" w:rsidRPr="00695EBD" w:rsidRDefault="000376AE" w:rsidP="00193366">
            <w:pPr>
              <w:widowControl w:val="0"/>
              <w:tabs>
                <w:tab w:val="left" w:pos="609"/>
                <w:tab w:val="left" w:pos="108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3.5- &lt;4</w:t>
            </w:r>
          </w:p>
        </w:tc>
        <w:tc>
          <w:tcPr>
            <w:tcW w:w="4230" w:type="dxa"/>
          </w:tcPr>
          <w:p w:rsidR="000376AE" w:rsidRPr="00695EBD" w:rsidRDefault="000376AE" w:rsidP="00193366">
            <w:pPr>
              <w:widowControl w:val="0"/>
              <w:tabs>
                <w:tab w:val="left" w:pos="609"/>
                <w:tab w:val="left" w:pos="108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75 </w:t>
            </w:r>
            <w:r w:rsidR="000846F6"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to</w:t>
            </w: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 less than 80%</w:t>
            </w:r>
          </w:p>
        </w:tc>
      </w:tr>
      <w:tr w:rsidR="000376AE" w:rsidRPr="00193366" w:rsidTr="00695EBD">
        <w:tc>
          <w:tcPr>
            <w:tcW w:w="1548" w:type="dxa"/>
            <w:vMerge w:val="restart"/>
          </w:tcPr>
          <w:p w:rsidR="000376AE" w:rsidRPr="00695EBD" w:rsidRDefault="000376AE" w:rsidP="00193366">
            <w:pPr>
              <w:widowControl w:val="0"/>
              <w:tabs>
                <w:tab w:val="left" w:pos="609"/>
                <w:tab w:val="left" w:pos="108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Good</w:t>
            </w:r>
          </w:p>
        </w:tc>
        <w:tc>
          <w:tcPr>
            <w:tcW w:w="1026" w:type="dxa"/>
          </w:tcPr>
          <w:p w:rsidR="000376AE" w:rsidRPr="00695EBD" w:rsidRDefault="000376AE" w:rsidP="00193366">
            <w:pPr>
              <w:widowControl w:val="0"/>
              <w:tabs>
                <w:tab w:val="left" w:pos="609"/>
                <w:tab w:val="left" w:pos="108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C+</w:t>
            </w:r>
          </w:p>
        </w:tc>
        <w:tc>
          <w:tcPr>
            <w:tcW w:w="1584" w:type="dxa"/>
          </w:tcPr>
          <w:p w:rsidR="000376AE" w:rsidRPr="00695EBD" w:rsidRDefault="000376AE" w:rsidP="00193366">
            <w:pPr>
              <w:widowControl w:val="0"/>
              <w:tabs>
                <w:tab w:val="left" w:pos="609"/>
                <w:tab w:val="left" w:pos="108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3-&lt;3.5</w:t>
            </w:r>
          </w:p>
        </w:tc>
        <w:tc>
          <w:tcPr>
            <w:tcW w:w="4230" w:type="dxa"/>
          </w:tcPr>
          <w:p w:rsidR="000376AE" w:rsidRPr="00695EBD" w:rsidRDefault="000376AE" w:rsidP="00193366">
            <w:pPr>
              <w:widowControl w:val="0"/>
              <w:tabs>
                <w:tab w:val="left" w:pos="609"/>
                <w:tab w:val="left" w:pos="108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70 </w:t>
            </w:r>
            <w:r w:rsidR="000846F6"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to</w:t>
            </w: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 less than 75%</w:t>
            </w:r>
          </w:p>
        </w:tc>
      </w:tr>
      <w:tr w:rsidR="000376AE" w:rsidRPr="00193366" w:rsidTr="00695EBD">
        <w:tc>
          <w:tcPr>
            <w:tcW w:w="1548" w:type="dxa"/>
            <w:vMerge/>
          </w:tcPr>
          <w:p w:rsidR="000376AE" w:rsidRPr="00193366" w:rsidRDefault="000376AE" w:rsidP="00193366">
            <w:pPr>
              <w:widowControl w:val="0"/>
              <w:tabs>
                <w:tab w:val="left" w:pos="609"/>
                <w:tab w:val="left" w:pos="108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026" w:type="dxa"/>
          </w:tcPr>
          <w:p w:rsidR="000376AE" w:rsidRPr="00695EBD" w:rsidRDefault="000376AE" w:rsidP="00193366">
            <w:pPr>
              <w:widowControl w:val="0"/>
              <w:tabs>
                <w:tab w:val="left" w:pos="609"/>
                <w:tab w:val="left" w:pos="108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C</w:t>
            </w:r>
          </w:p>
        </w:tc>
        <w:tc>
          <w:tcPr>
            <w:tcW w:w="1584" w:type="dxa"/>
          </w:tcPr>
          <w:p w:rsidR="000376AE" w:rsidRPr="00695EBD" w:rsidRDefault="000376AE" w:rsidP="00193366">
            <w:pPr>
              <w:widowControl w:val="0"/>
              <w:tabs>
                <w:tab w:val="left" w:pos="609"/>
                <w:tab w:val="left" w:pos="108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2.5-&lt;3</w:t>
            </w:r>
          </w:p>
        </w:tc>
        <w:tc>
          <w:tcPr>
            <w:tcW w:w="4230" w:type="dxa"/>
          </w:tcPr>
          <w:p w:rsidR="000376AE" w:rsidRPr="00695EBD" w:rsidRDefault="000376AE" w:rsidP="00193366">
            <w:pPr>
              <w:widowControl w:val="0"/>
              <w:tabs>
                <w:tab w:val="left" w:pos="609"/>
                <w:tab w:val="left" w:pos="108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65 </w:t>
            </w:r>
            <w:r w:rsidR="000846F6"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to</w:t>
            </w: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 less than 70%</w:t>
            </w:r>
          </w:p>
        </w:tc>
      </w:tr>
      <w:tr w:rsidR="000376AE" w:rsidRPr="00193366" w:rsidTr="00695EBD">
        <w:tc>
          <w:tcPr>
            <w:tcW w:w="1548" w:type="dxa"/>
          </w:tcPr>
          <w:p w:rsidR="000376AE" w:rsidRPr="00695EBD" w:rsidRDefault="000376AE" w:rsidP="00193366">
            <w:pPr>
              <w:widowControl w:val="0"/>
              <w:tabs>
                <w:tab w:val="left" w:pos="609"/>
                <w:tab w:val="left" w:pos="108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Pass</w:t>
            </w:r>
          </w:p>
        </w:tc>
        <w:tc>
          <w:tcPr>
            <w:tcW w:w="1026" w:type="dxa"/>
          </w:tcPr>
          <w:p w:rsidR="000376AE" w:rsidRPr="00695EBD" w:rsidRDefault="000376AE" w:rsidP="00193366">
            <w:pPr>
              <w:widowControl w:val="0"/>
              <w:tabs>
                <w:tab w:val="left" w:pos="609"/>
                <w:tab w:val="left" w:pos="108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D</w:t>
            </w:r>
          </w:p>
        </w:tc>
        <w:tc>
          <w:tcPr>
            <w:tcW w:w="1584" w:type="dxa"/>
          </w:tcPr>
          <w:p w:rsidR="000376AE" w:rsidRPr="00695EBD" w:rsidRDefault="000376AE" w:rsidP="00193366">
            <w:pPr>
              <w:widowControl w:val="0"/>
              <w:tabs>
                <w:tab w:val="left" w:pos="609"/>
                <w:tab w:val="left" w:pos="108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2-&lt;2.5</w:t>
            </w:r>
          </w:p>
        </w:tc>
        <w:tc>
          <w:tcPr>
            <w:tcW w:w="4230" w:type="dxa"/>
          </w:tcPr>
          <w:p w:rsidR="000376AE" w:rsidRPr="00695EBD" w:rsidRDefault="000376AE" w:rsidP="00193366">
            <w:pPr>
              <w:widowControl w:val="0"/>
              <w:tabs>
                <w:tab w:val="left" w:pos="609"/>
                <w:tab w:val="left" w:pos="108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60 </w:t>
            </w:r>
            <w:r w:rsidR="000846F6"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>to</w:t>
            </w:r>
            <w:r w:rsidRPr="00695EB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  <w:t xml:space="preserve"> less than 65%</w:t>
            </w:r>
          </w:p>
        </w:tc>
      </w:tr>
    </w:tbl>
    <w:p w:rsidR="008B1958" w:rsidRPr="00695EBD" w:rsidRDefault="000846F6" w:rsidP="00695EBD">
      <w:pPr>
        <w:spacing w:before="360" w:after="0" w:line="312" w:lineRule="auto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6"/>
          <w:szCs w:val="26"/>
        </w:rPr>
        <w:t>**</w:t>
      </w:r>
      <w:r w:rsidR="008B1958" w:rsidRPr="00695EBD">
        <w:rPr>
          <w:rFonts w:asciiTheme="majorBidi" w:hAnsiTheme="majorBidi" w:cstheme="majorBidi"/>
          <w:color w:val="000000" w:themeColor="text1"/>
          <w:sz w:val="24"/>
          <w:szCs w:val="24"/>
        </w:rPr>
        <w:t>If the student has CGPA score of less than 2, he/she is allowed to re-register in some courses to improve the GPA, in which case the higher grade is calculated.</w:t>
      </w:r>
    </w:p>
    <w:p w:rsidR="000846F6" w:rsidRPr="003E526F" w:rsidRDefault="000846F6" w:rsidP="00695EBD">
      <w:pPr>
        <w:widowControl w:val="0"/>
        <w:tabs>
          <w:tab w:val="left" w:pos="609"/>
          <w:tab w:val="left" w:pos="1084"/>
        </w:tabs>
        <w:autoSpaceDE w:val="0"/>
        <w:autoSpaceDN w:val="0"/>
        <w:adjustRightInd w:val="0"/>
        <w:spacing w:before="120" w:after="0" w:line="312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3E526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Article 16: Cancelling Enrollment</w:t>
      </w:r>
    </w:p>
    <w:p w:rsidR="000846F6" w:rsidRPr="00193366" w:rsidRDefault="000846F6" w:rsidP="00695EBD">
      <w:pPr>
        <w:widowControl w:val="0"/>
        <w:tabs>
          <w:tab w:val="left" w:pos="609"/>
          <w:tab w:val="left" w:pos="1084"/>
        </w:tabs>
        <w:autoSpaceDE w:val="0"/>
        <w:autoSpaceDN w:val="0"/>
        <w:adjustRightInd w:val="0"/>
        <w:spacing w:after="0" w:line="312" w:lineRule="auto"/>
        <w:jc w:val="lowKashida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193366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The 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>Higher Committee will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cancel the student’s 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>enrollment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upon the </w:t>
      </w:r>
      <w:r w:rsidR="00B345A8">
        <w:rPr>
          <w:rFonts w:asciiTheme="majorBidi" w:hAnsiTheme="majorBidi" w:cstheme="majorBidi"/>
          <w:color w:val="000000" w:themeColor="text1"/>
          <w:sz w:val="26"/>
          <w:szCs w:val="26"/>
        </w:rPr>
        <w:t>request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of the 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>E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xecutive 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>C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</w:rPr>
        <w:t>ommittee in the following cases:</w:t>
      </w:r>
    </w:p>
    <w:p w:rsidR="000846F6" w:rsidRPr="00B345A8" w:rsidRDefault="00B345A8" w:rsidP="00695EBD">
      <w:pPr>
        <w:pStyle w:val="ListParagraph"/>
        <w:numPr>
          <w:ilvl w:val="0"/>
          <w:numId w:val="33"/>
        </w:numPr>
        <w:spacing w:after="0" w:line="312" w:lineRule="auto"/>
        <w:ind w:left="270" w:hanging="270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en-GB" w:bidi="ar-EG"/>
        </w:rPr>
      </w:pPr>
      <w:r w:rsidRPr="00B345A8">
        <w:rPr>
          <w:rFonts w:asciiTheme="majorBidi" w:hAnsiTheme="majorBidi" w:cstheme="majorBidi"/>
          <w:color w:val="000000" w:themeColor="text1"/>
          <w:sz w:val="26"/>
          <w:szCs w:val="26"/>
        </w:rPr>
        <w:t>If he/</w:t>
      </w:r>
      <w:r w:rsidR="000846F6" w:rsidRPr="00B345A8">
        <w:rPr>
          <w:rFonts w:asciiTheme="majorBidi" w:hAnsiTheme="majorBidi" w:cstheme="majorBidi"/>
          <w:color w:val="000000" w:themeColor="text1"/>
          <w:sz w:val="26"/>
          <w:szCs w:val="26"/>
        </w:rPr>
        <w:t>she does</w:t>
      </w:r>
      <w:r w:rsidR="000846F6" w:rsidRPr="00B345A8">
        <w:rPr>
          <w:rFonts w:asciiTheme="majorBidi" w:hAnsiTheme="majorBidi" w:cstheme="majorBidi"/>
          <w:color w:val="000000" w:themeColor="text1"/>
          <w:sz w:val="26"/>
          <w:szCs w:val="26"/>
          <w:rtl/>
          <w:lang w:bidi="ar-EG"/>
        </w:rPr>
        <w:t xml:space="preserve"> </w:t>
      </w:r>
      <w:r w:rsidR="000846F6" w:rsidRPr="00B345A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not pay the study fees or the </w:t>
      </w:r>
      <w:r w:rsidR="000846F6" w:rsidRPr="00B345A8">
        <w:rPr>
          <w:rFonts w:asciiTheme="majorBidi" w:hAnsiTheme="majorBidi" w:cstheme="majorBidi"/>
          <w:color w:val="000000" w:themeColor="text1"/>
          <w:sz w:val="26"/>
          <w:szCs w:val="26"/>
          <w:lang w:val="en-GB" w:bidi="ar-EG"/>
        </w:rPr>
        <w:t>fees in exchange for research hours.</w:t>
      </w:r>
    </w:p>
    <w:p w:rsidR="000846F6" w:rsidRPr="00B345A8" w:rsidRDefault="000846F6" w:rsidP="00695EBD">
      <w:pPr>
        <w:pStyle w:val="ListParagraph"/>
        <w:widowControl w:val="0"/>
        <w:numPr>
          <w:ilvl w:val="0"/>
          <w:numId w:val="33"/>
        </w:numPr>
        <w:tabs>
          <w:tab w:val="left" w:pos="609"/>
          <w:tab w:val="left" w:pos="1084"/>
        </w:tabs>
        <w:autoSpaceDE w:val="0"/>
        <w:autoSpaceDN w:val="0"/>
        <w:adjustRightInd w:val="0"/>
        <w:spacing w:after="0" w:line="312" w:lineRule="auto"/>
        <w:ind w:left="270" w:hanging="270"/>
        <w:jc w:val="lowKashida"/>
        <w:rPr>
          <w:rFonts w:asciiTheme="majorBidi" w:hAnsiTheme="majorBidi" w:cstheme="majorBidi"/>
          <w:color w:val="000000" w:themeColor="text1"/>
          <w:sz w:val="26"/>
          <w:szCs w:val="26"/>
          <w:lang w:val="en-GB"/>
        </w:rPr>
      </w:pPr>
      <w:r w:rsidRPr="00B345A8">
        <w:rPr>
          <w:rFonts w:asciiTheme="majorBidi" w:hAnsiTheme="majorBidi" w:cstheme="majorBidi"/>
          <w:color w:val="000000" w:themeColor="text1"/>
          <w:sz w:val="26"/>
          <w:szCs w:val="26"/>
        </w:rPr>
        <w:t>If the student submits a request to cancel his enrollment</w:t>
      </w:r>
    </w:p>
    <w:p w:rsidR="000846F6" w:rsidRPr="00B345A8" w:rsidRDefault="000846F6" w:rsidP="00695EBD">
      <w:pPr>
        <w:pStyle w:val="ListParagraph"/>
        <w:widowControl w:val="0"/>
        <w:numPr>
          <w:ilvl w:val="0"/>
          <w:numId w:val="33"/>
        </w:numPr>
        <w:tabs>
          <w:tab w:val="left" w:pos="609"/>
          <w:tab w:val="left" w:pos="1084"/>
        </w:tabs>
        <w:autoSpaceDE w:val="0"/>
        <w:autoSpaceDN w:val="0"/>
        <w:adjustRightInd w:val="0"/>
        <w:spacing w:after="0" w:line="312" w:lineRule="auto"/>
        <w:ind w:left="270" w:hanging="270"/>
        <w:jc w:val="lowKashida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B345A8">
        <w:rPr>
          <w:rFonts w:asciiTheme="majorBidi" w:hAnsiTheme="majorBidi" w:cstheme="majorBidi"/>
          <w:color w:val="000000" w:themeColor="text1"/>
          <w:sz w:val="26"/>
          <w:szCs w:val="26"/>
        </w:rPr>
        <w:t>If the student drops out without an acceptable excuse for two consecutive or non-consecutive semesters</w:t>
      </w:r>
    </w:p>
    <w:p w:rsidR="00B345A8" w:rsidRPr="003E526F" w:rsidRDefault="00B345A8" w:rsidP="00695EBD">
      <w:pPr>
        <w:pStyle w:val="ListParagraph"/>
        <w:widowControl w:val="0"/>
        <w:numPr>
          <w:ilvl w:val="0"/>
          <w:numId w:val="33"/>
        </w:numPr>
        <w:tabs>
          <w:tab w:val="left" w:pos="609"/>
          <w:tab w:val="left" w:pos="1084"/>
        </w:tabs>
        <w:autoSpaceDE w:val="0"/>
        <w:autoSpaceDN w:val="0"/>
        <w:adjustRightInd w:val="0"/>
        <w:spacing w:after="0" w:line="312" w:lineRule="auto"/>
        <w:ind w:left="270" w:hanging="270"/>
        <w:jc w:val="lowKashida"/>
        <w:rPr>
          <w:rFonts w:asciiTheme="majorBidi" w:hAnsiTheme="majorBidi" w:cstheme="majorBidi"/>
          <w:color w:val="000000" w:themeColor="text1"/>
          <w:sz w:val="26"/>
          <w:szCs w:val="26"/>
          <w:lang w:val="en-GB"/>
        </w:rPr>
      </w:pPr>
      <w:r w:rsidRPr="00B345A8">
        <w:rPr>
          <w:rFonts w:asciiTheme="majorBidi" w:hAnsiTheme="majorBidi" w:cstheme="majorBidi"/>
          <w:color w:val="000000" w:themeColor="text1"/>
          <w:sz w:val="26"/>
          <w:szCs w:val="26"/>
        </w:rPr>
        <w:t>If the student does not fulfill or accomplish the study requirements within a maximum of three years, taking into consideration the cases of accepted holding</w:t>
      </w:r>
    </w:p>
    <w:p w:rsidR="003E526F" w:rsidRPr="00B345A8" w:rsidRDefault="003E526F" w:rsidP="00695EBD">
      <w:pPr>
        <w:pStyle w:val="ListParagraph"/>
        <w:widowControl w:val="0"/>
        <w:numPr>
          <w:ilvl w:val="0"/>
          <w:numId w:val="33"/>
        </w:numPr>
        <w:tabs>
          <w:tab w:val="left" w:pos="609"/>
          <w:tab w:val="left" w:pos="1084"/>
        </w:tabs>
        <w:autoSpaceDE w:val="0"/>
        <w:autoSpaceDN w:val="0"/>
        <w:adjustRightInd w:val="0"/>
        <w:spacing w:after="0" w:line="312" w:lineRule="auto"/>
        <w:ind w:left="270" w:hanging="270"/>
        <w:jc w:val="lowKashida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B345A8">
        <w:rPr>
          <w:rFonts w:asciiTheme="majorBidi" w:hAnsiTheme="majorBidi" w:cstheme="majorBidi"/>
          <w:color w:val="000000" w:themeColor="text1"/>
          <w:sz w:val="26"/>
          <w:szCs w:val="26"/>
        </w:rPr>
        <w:t>If the student failed in a course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three times</w:t>
      </w:r>
      <w:r w:rsidRPr="00B345A8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</w:p>
    <w:p w:rsidR="003E526F" w:rsidRPr="00B345A8" w:rsidRDefault="00E23782" w:rsidP="00695EBD">
      <w:pPr>
        <w:pStyle w:val="ListParagraph"/>
        <w:widowControl w:val="0"/>
        <w:numPr>
          <w:ilvl w:val="0"/>
          <w:numId w:val="33"/>
        </w:numPr>
        <w:tabs>
          <w:tab w:val="left" w:pos="609"/>
          <w:tab w:val="left" w:pos="1084"/>
        </w:tabs>
        <w:autoSpaceDE w:val="0"/>
        <w:autoSpaceDN w:val="0"/>
        <w:adjustRightInd w:val="0"/>
        <w:spacing w:after="0" w:line="312" w:lineRule="auto"/>
        <w:ind w:left="270" w:hanging="270"/>
        <w:jc w:val="lowKashida"/>
        <w:rPr>
          <w:rFonts w:asciiTheme="majorBidi" w:hAnsiTheme="majorBidi" w:cstheme="majorBidi"/>
          <w:color w:val="000000" w:themeColor="text1"/>
          <w:sz w:val="26"/>
          <w:szCs w:val="26"/>
          <w:lang w:val="en-GB"/>
        </w:rPr>
      </w:pPr>
      <w:r>
        <w:rPr>
          <w:rFonts w:asciiTheme="majorBidi" w:hAnsiTheme="majorBidi" w:cstheme="majorBidi"/>
          <w:color w:val="000000" w:themeColor="text1"/>
          <w:sz w:val="26"/>
          <w:szCs w:val="26"/>
        </w:rPr>
        <w:t>Disciplinary sanctions</w:t>
      </w:r>
    </w:p>
    <w:p w:rsidR="00E23782" w:rsidRDefault="00E23782" w:rsidP="00695EBD">
      <w:pPr>
        <w:widowControl w:val="0"/>
        <w:tabs>
          <w:tab w:val="left" w:pos="993"/>
          <w:tab w:val="left" w:pos="1084"/>
        </w:tabs>
        <w:autoSpaceDE w:val="0"/>
        <w:autoSpaceDN w:val="0"/>
        <w:adjustRightInd w:val="0"/>
        <w:spacing w:before="120" w:after="0" w:line="312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E2378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Article 1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7</w:t>
      </w:r>
      <w:r w:rsidRPr="00E2378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: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Re-Enrollment</w:t>
      </w:r>
    </w:p>
    <w:p w:rsidR="00E23782" w:rsidRPr="00E23782" w:rsidRDefault="00E23782" w:rsidP="00695EBD">
      <w:pPr>
        <w:widowControl w:val="0"/>
        <w:tabs>
          <w:tab w:val="left" w:pos="993"/>
          <w:tab w:val="left" w:pos="1084"/>
        </w:tabs>
        <w:autoSpaceDE w:val="0"/>
        <w:autoSpaceDN w:val="0"/>
        <w:adjustRightInd w:val="0"/>
        <w:spacing w:before="120" w:after="0" w:line="312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The Executive Committee may allow the students, whose enrollment was previously cancelled according to Article (16), to be re-enrolled in the program, </w:t>
      </w:r>
      <w:r w:rsidR="00B607FC">
        <w:rPr>
          <w:rFonts w:asciiTheme="majorBidi" w:hAnsiTheme="majorBidi" w:cstheme="majorBidi"/>
          <w:color w:val="000000" w:themeColor="text1"/>
          <w:sz w:val="26"/>
          <w:szCs w:val="26"/>
        </w:rPr>
        <w:t>after at least one year from cancelling date.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</w:p>
    <w:p w:rsidR="00AD6FF5" w:rsidRPr="00E23782" w:rsidRDefault="00AD6FF5" w:rsidP="00695EBD">
      <w:pPr>
        <w:widowControl w:val="0"/>
        <w:tabs>
          <w:tab w:val="left" w:pos="993"/>
          <w:tab w:val="left" w:pos="1084"/>
        </w:tabs>
        <w:autoSpaceDE w:val="0"/>
        <w:autoSpaceDN w:val="0"/>
        <w:adjustRightInd w:val="0"/>
        <w:spacing w:before="120" w:after="0" w:line="312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E2378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Article 1</w:t>
      </w:r>
      <w:r w:rsidR="00E2378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8</w:t>
      </w:r>
      <w:r w:rsidRPr="00E2378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: </w:t>
      </w:r>
      <w:r w:rsidR="00E2378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Amendment of Course` Content</w:t>
      </w:r>
    </w:p>
    <w:p w:rsidR="00AD6FF5" w:rsidRPr="00AD6FF5" w:rsidRDefault="00AD6FF5" w:rsidP="0000645D">
      <w:pPr>
        <w:widowControl w:val="0"/>
        <w:tabs>
          <w:tab w:val="left" w:pos="993"/>
          <w:tab w:val="left" w:pos="1084"/>
        </w:tabs>
        <w:autoSpaceDE w:val="0"/>
        <w:autoSpaceDN w:val="0"/>
        <w:adjustRightInd w:val="0"/>
        <w:spacing w:after="0" w:line="312" w:lineRule="auto"/>
        <w:jc w:val="lowKashida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AD6FF5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The Executive Committee of the 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>p</w:t>
      </w:r>
      <w:r w:rsidRPr="00AD6FF5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rogram </w:t>
      </w:r>
      <w:r w:rsidR="0000645D">
        <w:rPr>
          <w:rFonts w:asciiTheme="majorBidi" w:hAnsiTheme="majorBidi" w:cstheme="majorBidi"/>
          <w:color w:val="000000" w:themeColor="text1"/>
          <w:sz w:val="26"/>
          <w:szCs w:val="26"/>
        </w:rPr>
        <w:t>could approve the update and</w:t>
      </w:r>
      <w:r w:rsidRPr="00AD6FF5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amend</w:t>
      </w:r>
      <w:r w:rsidR="0000645D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not more than 25% of </w:t>
      </w:r>
      <w:r w:rsidRPr="00AD6FF5">
        <w:rPr>
          <w:rFonts w:asciiTheme="majorBidi" w:hAnsiTheme="majorBidi" w:cstheme="majorBidi"/>
          <w:color w:val="000000" w:themeColor="text1"/>
          <w:sz w:val="26"/>
          <w:szCs w:val="26"/>
        </w:rPr>
        <w:t>the scientific content of any course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Pr="00AD6FF5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upon the suggestion 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lastRenderedPageBreak/>
        <w:t>of the responsible scientific department</w:t>
      </w:r>
      <w:r w:rsidR="00376C9F">
        <w:rPr>
          <w:rFonts w:asciiTheme="majorBidi" w:hAnsiTheme="majorBidi" w:cstheme="majorBidi"/>
          <w:color w:val="000000" w:themeColor="text1"/>
          <w:sz w:val="26"/>
          <w:szCs w:val="26"/>
        </w:rPr>
        <w:t>. The amendment sh</w:t>
      </w:r>
      <w:r w:rsidRPr="00AD6FF5">
        <w:rPr>
          <w:rFonts w:asciiTheme="majorBidi" w:hAnsiTheme="majorBidi" w:cstheme="majorBidi"/>
          <w:color w:val="000000" w:themeColor="text1"/>
          <w:sz w:val="26"/>
          <w:szCs w:val="26"/>
        </w:rPr>
        <w:t>ould be approved by the Higher Committee and endorsed by the University Council.</w:t>
      </w:r>
    </w:p>
    <w:p w:rsidR="00AD6FF5" w:rsidRDefault="00AD6FF5" w:rsidP="00695EBD">
      <w:pPr>
        <w:widowControl w:val="0"/>
        <w:tabs>
          <w:tab w:val="left" w:pos="609"/>
          <w:tab w:val="left" w:pos="1084"/>
        </w:tabs>
        <w:autoSpaceDE w:val="0"/>
        <w:autoSpaceDN w:val="0"/>
        <w:adjustRightInd w:val="0"/>
        <w:spacing w:before="120" w:after="0" w:line="312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val="en-GB"/>
        </w:rPr>
      </w:pPr>
      <w:r w:rsidRPr="00376C9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val="en-GB"/>
        </w:rPr>
        <w:t>Article 1</w:t>
      </w:r>
      <w:r w:rsidR="00376C9F" w:rsidRPr="00376C9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val="en-GB"/>
        </w:rPr>
        <w:t>9</w:t>
      </w:r>
      <w:r w:rsidRPr="00376C9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val="en-GB"/>
        </w:rPr>
        <w:t xml:space="preserve">: </w:t>
      </w:r>
      <w:r w:rsidR="00376C9F" w:rsidRPr="00376C9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val="en-GB"/>
        </w:rPr>
        <w:t>Course Code</w:t>
      </w:r>
    </w:p>
    <w:p w:rsidR="00655CEC" w:rsidRDefault="00376C9F" w:rsidP="00142D73">
      <w:pPr>
        <w:widowControl w:val="0"/>
        <w:tabs>
          <w:tab w:val="left" w:pos="609"/>
          <w:tab w:val="left" w:pos="1084"/>
        </w:tabs>
        <w:autoSpaceDE w:val="0"/>
        <w:autoSpaceDN w:val="0"/>
        <w:adjustRightInd w:val="0"/>
        <w:spacing w:after="0" w:line="312" w:lineRule="auto"/>
        <w:jc w:val="lowKashida"/>
        <w:rPr>
          <w:rFonts w:asciiTheme="majorBidi" w:hAnsiTheme="majorBidi" w:cstheme="majorBidi"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The courses of the program, as shown in Article (20), have a code consisting of two letters and three numbers. From left, the two letters </w:t>
      </w:r>
      <w:r w:rsidR="00655CE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(BC) 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indicate that </w:t>
      </w:r>
      <w:r w:rsidR="00655CE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the Department of Biochemistry, Faculty of Pharmacy, Tanta University, is the department responsible for organization and coordination of teaching of program courses by the specialized staff members. </w:t>
      </w:r>
      <w:r w:rsidR="00655CEC" w:rsidRPr="00193366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The first number </w:t>
      </w:r>
      <w:r w:rsidR="00655CE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from the left </w:t>
      </w:r>
      <w:r w:rsidR="00655CEC" w:rsidRPr="00193366">
        <w:rPr>
          <w:rFonts w:asciiTheme="majorBidi" w:hAnsiTheme="majorBidi" w:cstheme="majorBidi"/>
          <w:color w:val="000000" w:themeColor="text1"/>
          <w:sz w:val="26"/>
          <w:szCs w:val="26"/>
        </w:rPr>
        <w:t>represents the semester</w:t>
      </w:r>
      <w:r w:rsidR="00655CE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number; t</w:t>
      </w:r>
      <w:r w:rsidR="00655CEC" w:rsidRPr="00193366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he second and third </w:t>
      </w:r>
      <w:r w:rsidR="00655CEC">
        <w:rPr>
          <w:rFonts w:asciiTheme="majorBidi" w:hAnsiTheme="majorBidi" w:cstheme="majorBidi"/>
          <w:color w:val="000000" w:themeColor="text1"/>
          <w:sz w:val="26"/>
          <w:szCs w:val="26"/>
        </w:rPr>
        <w:t>numbers</w:t>
      </w:r>
      <w:r w:rsidR="00655CEC" w:rsidRPr="00193366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represent the course number</w:t>
      </w:r>
      <w:r w:rsidR="00655CE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within the program.</w:t>
      </w:r>
      <w:r w:rsidR="00142D7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The academic </w:t>
      </w:r>
      <w:proofErr w:type="gramStart"/>
      <w:r w:rsidR="00142D73">
        <w:rPr>
          <w:rFonts w:asciiTheme="majorBidi" w:hAnsiTheme="majorBidi" w:cstheme="majorBidi"/>
          <w:color w:val="000000" w:themeColor="text1"/>
          <w:sz w:val="26"/>
          <w:szCs w:val="26"/>
        </w:rPr>
        <w:t>staff of Faculty of Pharmacy and Faculty of Medicine contribute</w:t>
      </w:r>
      <w:proofErr w:type="gramEnd"/>
      <w:r w:rsidR="00142D7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to the program.</w:t>
      </w:r>
    </w:p>
    <w:p w:rsidR="00AD6FF5" w:rsidRPr="00814AB5" w:rsidRDefault="00AD6FF5" w:rsidP="00695EBD">
      <w:pPr>
        <w:pStyle w:val="ListParagraph"/>
        <w:widowControl w:val="0"/>
        <w:tabs>
          <w:tab w:val="left" w:pos="993"/>
          <w:tab w:val="left" w:pos="1084"/>
        </w:tabs>
        <w:autoSpaceDE w:val="0"/>
        <w:autoSpaceDN w:val="0"/>
        <w:adjustRightInd w:val="0"/>
        <w:spacing w:before="120" w:after="0" w:line="312" w:lineRule="auto"/>
        <w:ind w:left="0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u w:val="single"/>
          <w:lang w:val="en-GB"/>
        </w:rPr>
      </w:pPr>
      <w:r w:rsidRPr="00814AB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val="en-GB"/>
        </w:rPr>
        <w:t xml:space="preserve">Article </w:t>
      </w:r>
      <w:r w:rsidR="00814AB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val="en-GB"/>
        </w:rPr>
        <w:t>20</w:t>
      </w:r>
      <w:r w:rsidRPr="00814AB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val="en-GB"/>
        </w:rPr>
        <w:t>:</w:t>
      </w:r>
      <w:r w:rsidRPr="00814AB5">
        <w:rPr>
          <w:rFonts w:asciiTheme="majorBidi" w:hAnsiTheme="majorBidi" w:cstheme="majorBidi"/>
          <w:b/>
          <w:bCs/>
          <w:color w:val="000000" w:themeColor="text1"/>
          <w:sz w:val="26"/>
          <w:szCs w:val="26"/>
          <w:u w:val="single"/>
          <w:lang w:val="en-GB"/>
        </w:rPr>
        <w:t xml:space="preserve"> </w:t>
      </w:r>
      <w:r w:rsidR="00814AB5">
        <w:rPr>
          <w:rFonts w:asciiTheme="majorBidi" w:hAnsiTheme="majorBidi" w:cstheme="majorBidi"/>
          <w:b/>
          <w:bCs/>
          <w:color w:val="000000" w:themeColor="text1"/>
          <w:sz w:val="26"/>
          <w:szCs w:val="26"/>
          <w:u w:val="single"/>
          <w:lang w:val="en-GB"/>
        </w:rPr>
        <w:t>Program Courses</w:t>
      </w:r>
    </w:p>
    <w:p w:rsidR="000376AE" w:rsidRPr="00193366" w:rsidRDefault="000376AE" w:rsidP="00B046C2">
      <w:pPr>
        <w:widowControl w:val="0"/>
        <w:tabs>
          <w:tab w:val="left" w:pos="609"/>
          <w:tab w:val="left" w:pos="1084"/>
        </w:tabs>
        <w:autoSpaceDE w:val="0"/>
        <w:autoSpaceDN w:val="0"/>
        <w:adjustRightInd w:val="0"/>
        <w:spacing w:after="0" w:line="312" w:lineRule="auto"/>
        <w:jc w:val="lowKashida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193366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The following tables show the courses that are taught to obtain the </w:t>
      </w:r>
      <w:r w:rsidR="006B707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Certificate of 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</w:rPr>
        <w:t>"</w:t>
      </w:r>
      <w:r w:rsidR="00B61D19" w:rsidRPr="00B61D19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Nutrition in Health Care</w:t>
      </w:r>
      <w:r w:rsidR="00B046C2" w:rsidRPr="00B046C2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</w:t>
      </w:r>
      <w:r w:rsidR="00B046C2" w:rsidRPr="00B61D19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>Diploma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", the number of credit hours, the </w:t>
      </w:r>
      <w:r w:rsidR="008B5A0C">
        <w:rPr>
          <w:rFonts w:asciiTheme="majorBidi" w:hAnsiTheme="majorBidi" w:cstheme="majorBidi"/>
          <w:color w:val="000000" w:themeColor="text1"/>
          <w:sz w:val="26"/>
          <w:szCs w:val="26"/>
        </w:rPr>
        <w:t>marks</w:t>
      </w:r>
      <w:r w:rsidR="006B707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of the 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written, oral and practical </w:t>
      </w:r>
      <w:r w:rsidR="006B7070">
        <w:rPr>
          <w:rFonts w:asciiTheme="majorBidi" w:hAnsiTheme="majorBidi" w:cstheme="majorBidi"/>
          <w:color w:val="000000" w:themeColor="text1"/>
          <w:sz w:val="26"/>
          <w:szCs w:val="26"/>
        </w:rPr>
        <w:t>exams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for each course</w:t>
      </w:r>
      <w:r w:rsidR="006B7070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6B707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and the exam </w:t>
      </w:r>
      <w:r w:rsidR="008B5A0C">
        <w:rPr>
          <w:rFonts w:asciiTheme="majorBidi" w:hAnsiTheme="majorBidi" w:cstheme="majorBidi"/>
          <w:color w:val="000000" w:themeColor="text1"/>
          <w:sz w:val="26"/>
          <w:szCs w:val="26"/>
        </w:rPr>
        <w:t>hours</w:t>
      </w:r>
      <w:r w:rsidR="006B7070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  <w:r w:rsidRPr="00193366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</w:p>
    <w:p w:rsidR="000376AE" w:rsidRPr="00814AB5" w:rsidRDefault="000376AE" w:rsidP="00695EBD">
      <w:pPr>
        <w:widowControl w:val="0"/>
        <w:tabs>
          <w:tab w:val="left" w:pos="609"/>
          <w:tab w:val="left" w:pos="1084"/>
        </w:tabs>
        <w:autoSpaceDE w:val="0"/>
        <w:autoSpaceDN w:val="0"/>
        <w:adjustRightInd w:val="0"/>
        <w:spacing w:after="0" w:line="312" w:lineRule="auto"/>
        <w:jc w:val="lowKashida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814AB5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L:</w:t>
      </w:r>
      <w:r w:rsidRPr="00814AB5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Lectures, </w:t>
      </w:r>
      <w:r w:rsidRPr="00814AB5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P:</w:t>
      </w:r>
      <w:r w:rsidRPr="00814AB5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Practical, </w:t>
      </w:r>
      <w:r w:rsidRPr="00814AB5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T: </w:t>
      </w:r>
      <w:r w:rsidRPr="00814AB5">
        <w:rPr>
          <w:rFonts w:asciiTheme="majorBidi" w:hAnsiTheme="majorBidi" w:cstheme="majorBidi"/>
          <w:color w:val="000000" w:themeColor="text1"/>
          <w:sz w:val="26"/>
          <w:szCs w:val="26"/>
        </w:rPr>
        <w:t>Tutorial</w:t>
      </w:r>
    </w:p>
    <w:tbl>
      <w:tblPr>
        <w:tblStyle w:val="TableGrid"/>
        <w:bidiVisual/>
        <w:tblW w:w="8550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990"/>
        <w:gridCol w:w="720"/>
        <w:gridCol w:w="630"/>
        <w:gridCol w:w="630"/>
        <w:gridCol w:w="912"/>
        <w:gridCol w:w="798"/>
        <w:gridCol w:w="810"/>
        <w:gridCol w:w="1080"/>
        <w:gridCol w:w="1980"/>
      </w:tblGrid>
      <w:tr w:rsidR="00A6084A" w:rsidRPr="00D17382" w:rsidTr="00B05EB2">
        <w:trPr>
          <w:trHeight w:val="251"/>
        </w:trPr>
        <w:tc>
          <w:tcPr>
            <w:tcW w:w="990" w:type="dxa"/>
            <w:vMerge w:val="restart"/>
          </w:tcPr>
          <w:p w:rsidR="00A6084A" w:rsidRPr="003575BE" w:rsidRDefault="00A6084A" w:rsidP="0092585D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575BE">
              <w:rPr>
                <w:rFonts w:ascii="Traditional Arabic" w:hAnsi="Traditional Arabic" w:cs="Traditional Arabic"/>
                <w:b/>
                <w:bCs/>
                <w:lang w:bidi="ar-EG"/>
              </w:rPr>
              <w:t>Exam Hours</w:t>
            </w:r>
          </w:p>
        </w:tc>
        <w:tc>
          <w:tcPr>
            <w:tcW w:w="2892" w:type="dxa"/>
            <w:gridSpan w:val="4"/>
          </w:tcPr>
          <w:p w:rsidR="00A6084A" w:rsidRPr="003575BE" w:rsidRDefault="00A6084A" w:rsidP="0092585D">
            <w:pPr>
              <w:pStyle w:val="ListParagraph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  <w:lang w:bidi="ar-EG"/>
              </w:rPr>
            </w:pPr>
          </w:p>
          <w:p w:rsidR="00A6084A" w:rsidRPr="003575BE" w:rsidRDefault="00A6084A" w:rsidP="0092585D">
            <w:pPr>
              <w:pStyle w:val="ListParagraph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575BE">
              <w:rPr>
                <w:rFonts w:ascii="Traditional Arabic" w:hAnsi="Traditional Arabic" w:cs="Traditional Arabic"/>
                <w:b/>
                <w:bCs/>
                <w:lang w:bidi="ar-EG"/>
              </w:rPr>
              <w:t>Exam</w:t>
            </w:r>
            <w:r w:rsidRPr="003575BE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 </w:t>
            </w:r>
            <w:r w:rsidRPr="003575BE">
              <w:rPr>
                <w:rFonts w:ascii="Traditional Arabic" w:hAnsi="Traditional Arabic" w:cs="Traditional Arabic"/>
                <w:b/>
                <w:bCs/>
                <w:lang w:bidi="ar-EG"/>
              </w:rPr>
              <w:t>Marks</w:t>
            </w:r>
          </w:p>
        </w:tc>
        <w:tc>
          <w:tcPr>
            <w:tcW w:w="4668" w:type="dxa"/>
            <w:gridSpan w:val="4"/>
          </w:tcPr>
          <w:p w:rsidR="00A6084A" w:rsidRPr="00510AEA" w:rsidRDefault="00A6084A" w:rsidP="0092585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  <w:lang w:bidi="ar-EG"/>
              </w:rPr>
            </w:pPr>
          </w:p>
          <w:p w:rsidR="00A6084A" w:rsidRPr="003575BE" w:rsidRDefault="00A6084A" w:rsidP="0092585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  <w:lang w:bidi="ar-EG"/>
              </w:rPr>
            </w:pPr>
            <w:r w:rsidRPr="003575BE">
              <w:rPr>
                <w:rFonts w:ascii="Traditional Arabic" w:hAnsi="Traditional Arabic" w:cs="Traditional Arabic"/>
                <w:b/>
                <w:bCs/>
                <w:lang w:bidi="ar-EG"/>
              </w:rPr>
              <w:t>Courses of the First Semester</w:t>
            </w:r>
          </w:p>
        </w:tc>
      </w:tr>
      <w:tr w:rsidR="00A6084A" w:rsidRPr="00D17382" w:rsidTr="00B05EB2">
        <w:tc>
          <w:tcPr>
            <w:tcW w:w="990" w:type="dxa"/>
            <w:vMerge/>
          </w:tcPr>
          <w:p w:rsidR="00A6084A" w:rsidRPr="00D17382" w:rsidRDefault="00A6084A" w:rsidP="0092585D">
            <w:pPr>
              <w:spacing w:after="0" w:line="240" w:lineRule="auto"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720" w:type="dxa"/>
          </w:tcPr>
          <w:p w:rsidR="00A6084A" w:rsidRPr="00D17382" w:rsidRDefault="00A6084A" w:rsidP="0092585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lang w:bidi="ar-EG"/>
              </w:rPr>
              <w:t>Total</w:t>
            </w:r>
          </w:p>
        </w:tc>
        <w:tc>
          <w:tcPr>
            <w:tcW w:w="630" w:type="dxa"/>
          </w:tcPr>
          <w:p w:rsidR="00A6084A" w:rsidRPr="00D17382" w:rsidRDefault="00A6084A" w:rsidP="0092585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D17382">
              <w:rPr>
                <w:rFonts w:ascii="Traditional Arabic" w:hAnsi="Traditional Arabic" w:cs="Traditional Arabic"/>
                <w:lang w:bidi="ar-EG"/>
              </w:rPr>
              <w:t>Oral</w:t>
            </w:r>
          </w:p>
        </w:tc>
        <w:tc>
          <w:tcPr>
            <w:tcW w:w="630" w:type="dxa"/>
          </w:tcPr>
          <w:p w:rsidR="00A6084A" w:rsidRPr="003575BE" w:rsidRDefault="00A6084A" w:rsidP="0092585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Traditional Arabic"/>
                <w:lang w:bidi="ar-EG"/>
              </w:rPr>
            </w:pPr>
            <w:r>
              <w:rPr>
                <w:rFonts w:cs="Traditional Arabic"/>
                <w:lang w:bidi="ar-EG"/>
              </w:rPr>
              <w:t>P/T</w:t>
            </w:r>
          </w:p>
        </w:tc>
        <w:tc>
          <w:tcPr>
            <w:tcW w:w="912" w:type="dxa"/>
          </w:tcPr>
          <w:p w:rsidR="00A6084A" w:rsidRPr="00D17382" w:rsidRDefault="00A6084A" w:rsidP="0092585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D17382">
              <w:rPr>
                <w:rFonts w:ascii="Traditional Arabic" w:hAnsi="Traditional Arabic" w:cs="Traditional Arabic"/>
                <w:lang w:bidi="ar-EG"/>
              </w:rPr>
              <w:t>Written</w:t>
            </w:r>
          </w:p>
        </w:tc>
        <w:tc>
          <w:tcPr>
            <w:tcW w:w="798" w:type="dxa"/>
          </w:tcPr>
          <w:p w:rsidR="00A6084A" w:rsidRPr="00D17382" w:rsidRDefault="00A6084A" w:rsidP="0092585D">
            <w:pPr>
              <w:pStyle w:val="ListParagraph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D17382">
              <w:rPr>
                <w:rFonts w:ascii="Traditional Arabic" w:hAnsi="Traditional Arabic" w:cs="Traditional Arabic"/>
                <w:lang w:bidi="ar-EG"/>
              </w:rPr>
              <w:t xml:space="preserve">L+P/T </w:t>
            </w:r>
          </w:p>
        </w:tc>
        <w:tc>
          <w:tcPr>
            <w:tcW w:w="810" w:type="dxa"/>
          </w:tcPr>
          <w:p w:rsidR="00A6084A" w:rsidRPr="00D17382" w:rsidRDefault="00A6084A" w:rsidP="0092585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D17382">
              <w:rPr>
                <w:rFonts w:ascii="Traditional Arabic" w:hAnsi="Traditional Arabic" w:cs="Traditional Arabic"/>
                <w:lang w:bidi="ar-EG"/>
              </w:rPr>
              <w:t>Credit Hours</w:t>
            </w:r>
          </w:p>
        </w:tc>
        <w:tc>
          <w:tcPr>
            <w:tcW w:w="1080" w:type="dxa"/>
          </w:tcPr>
          <w:p w:rsidR="00A6084A" w:rsidRPr="00D17382" w:rsidRDefault="00A6084A" w:rsidP="0092585D">
            <w:pPr>
              <w:pStyle w:val="ListParagraph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D17382">
              <w:rPr>
                <w:rFonts w:ascii="Traditional Arabic" w:hAnsi="Traditional Arabic" w:cs="Traditional Arabic"/>
                <w:lang w:bidi="ar-EG"/>
              </w:rPr>
              <w:t>Course Code</w:t>
            </w:r>
          </w:p>
        </w:tc>
        <w:tc>
          <w:tcPr>
            <w:tcW w:w="1980" w:type="dxa"/>
          </w:tcPr>
          <w:p w:rsidR="00A6084A" w:rsidRPr="00D17382" w:rsidRDefault="00A6084A" w:rsidP="0092585D">
            <w:pPr>
              <w:pStyle w:val="ListParagraph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lang w:bidi="ar-EG"/>
              </w:rPr>
            </w:pPr>
            <w:r w:rsidRPr="00D17382">
              <w:rPr>
                <w:rFonts w:ascii="Traditional Arabic" w:hAnsi="Traditional Arabic" w:cs="Traditional Arabic"/>
                <w:lang w:bidi="ar-EG"/>
              </w:rPr>
              <w:t>Course</w:t>
            </w:r>
            <w:r w:rsidRPr="00D17382">
              <w:rPr>
                <w:rFonts w:ascii="Traditional Arabic" w:hAnsi="Traditional Arabic" w:cs="Traditional Arabic"/>
                <w:rtl/>
                <w:lang w:bidi="ar-EG"/>
              </w:rPr>
              <w:t xml:space="preserve"> </w:t>
            </w:r>
            <w:r w:rsidRPr="00D17382">
              <w:rPr>
                <w:rFonts w:ascii="Traditional Arabic" w:hAnsi="Traditional Arabic" w:cs="Traditional Arabic"/>
                <w:lang w:bidi="ar-EG"/>
              </w:rPr>
              <w:t xml:space="preserve"> Title</w:t>
            </w:r>
          </w:p>
        </w:tc>
      </w:tr>
      <w:tr w:rsidR="00A6084A" w:rsidRPr="00D17382" w:rsidTr="00B05EB2">
        <w:tc>
          <w:tcPr>
            <w:tcW w:w="990" w:type="dxa"/>
          </w:tcPr>
          <w:p w:rsidR="00A6084A" w:rsidRPr="003575BE" w:rsidRDefault="00A6084A" w:rsidP="0092585D">
            <w:pPr>
              <w:spacing w:after="0"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575BE">
              <w:rPr>
                <w:rFonts w:ascii="Traditional Arabic" w:hAnsi="Traditional Arabic" w:cs="Traditional Arabic"/>
                <w:b/>
                <w:bCs/>
                <w:lang w:bidi="ar-EG"/>
              </w:rPr>
              <w:t>2</w:t>
            </w:r>
          </w:p>
        </w:tc>
        <w:tc>
          <w:tcPr>
            <w:tcW w:w="720" w:type="dxa"/>
          </w:tcPr>
          <w:p w:rsidR="00A6084A" w:rsidRPr="003575BE" w:rsidRDefault="00A6084A" w:rsidP="0092585D">
            <w:pPr>
              <w:spacing w:after="0" w:line="192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575BE">
              <w:rPr>
                <w:rFonts w:ascii="Traditional Arabic" w:hAnsi="Traditional Arabic" w:cs="Traditional Arabic"/>
                <w:b/>
                <w:bCs/>
                <w:lang w:bidi="ar-EG"/>
              </w:rPr>
              <w:t>100</w:t>
            </w:r>
          </w:p>
        </w:tc>
        <w:tc>
          <w:tcPr>
            <w:tcW w:w="630" w:type="dxa"/>
          </w:tcPr>
          <w:p w:rsidR="00A6084A" w:rsidRPr="003575BE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575BE">
              <w:rPr>
                <w:rFonts w:ascii="Traditional Arabic" w:hAnsi="Traditional Arabic" w:cs="Traditional Arabic"/>
                <w:b/>
                <w:bCs/>
                <w:lang w:bidi="ar-EG"/>
              </w:rPr>
              <w:t>15</w:t>
            </w:r>
          </w:p>
        </w:tc>
        <w:tc>
          <w:tcPr>
            <w:tcW w:w="630" w:type="dxa"/>
          </w:tcPr>
          <w:p w:rsidR="00A6084A" w:rsidRPr="003575BE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575BE">
              <w:rPr>
                <w:rFonts w:ascii="Traditional Arabic" w:hAnsi="Traditional Arabic" w:cs="Traditional Arabic"/>
                <w:b/>
                <w:bCs/>
                <w:lang w:bidi="ar-EG"/>
              </w:rPr>
              <w:t>25</w:t>
            </w:r>
          </w:p>
        </w:tc>
        <w:tc>
          <w:tcPr>
            <w:tcW w:w="912" w:type="dxa"/>
          </w:tcPr>
          <w:p w:rsidR="00A6084A" w:rsidRPr="003575BE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575BE">
              <w:rPr>
                <w:rFonts w:ascii="Traditional Arabic" w:hAnsi="Traditional Arabic" w:cs="Traditional Arabic"/>
                <w:b/>
                <w:bCs/>
                <w:lang w:bidi="ar-EG"/>
              </w:rPr>
              <w:t>60</w:t>
            </w:r>
          </w:p>
        </w:tc>
        <w:tc>
          <w:tcPr>
            <w:tcW w:w="798" w:type="dxa"/>
          </w:tcPr>
          <w:p w:rsidR="00A6084A" w:rsidRPr="00A6084A" w:rsidRDefault="00A6084A" w:rsidP="00A6084A">
            <w:pPr>
              <w:pStyle w:val="ListParagraph"/>
              <w:spacing w:after="0" w:line="192" w:lineRule="auto"/>
              <w:ind w:left="0"/>
              <w:jc w:val="center"/>
              <w:rPr>
                <w:rFonts w:cs="Traditional Arabic"/>
                <w:b/>
                <w:bCs/>
                <w:rtl/>
                <w:lang w:bidi="ar-EG"/>
              </w:rPr>
            </w:pPr>
            <w:r>
              <w:rPr>
                <w:rFonts w:cs="Traditional Arabic"/>
                <w:b/>
                <w:bCs/>
                <w:lang w:bidi="ar-EG"/>
              </w:rPr>
              <w:t>2+1</w:t>
            </w:r>
          </w:p>
        </w:tc>
        <w:tc>
          <w:tcPr>
            <w:tcW w:w="810" w:type="dxa"/>
          </w:tcPr>
          <w:p w:rsidR="00A6084A" w:rsidRPr="003575BE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575BE">
              <w:rPr>
                <w:rFonts w:ascii="Traditional Arabic" w:hAnsi="Traditional Arabic" w:cs="Traditional Arabic"/>
                <w:b/>
                <w:bCs/>
                <w:lang w:bidi="ar-EG"/>
              </w:rPr>
              <w:t>3</w:t>
            </w:r>
          </w:p>
        </w:tc>
        <w:tc>
          <w:tcPr>
            <w:tcW w:w="1080" w:type="dxa"/>
          </w:tcPr>
          <w:p w:rsidR="00A6084A" w:rsidRPr="003575BE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 w:rsidRPr="003575BE">
              <w:rPr>
                <w:rFonts w:ascii="Traditional Arabic" w:hAnsi="Traditional Arabic" w:cs="Traditional Arabic"/>
                <w:b/>
                <w:bCs/>
                <w:lang w:bidi="ar-EG"/>
              </w:rPr>
              <w:t>BC-110</w:t>
            </w:r>
          </w:p>
        </w:tc>
        <w:tc>
          <w:tcPr>
            <w:tcW w:w="1980" w:type="dxa"/>
          </w:tcPr>
          <w:p w:rsidR="00A6084A" w:rsidRPr="003575BE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575BE">
              <w:rPr>
                <w:rFonts w:ascii="Traditional Arabic" w:hAnsi="Traditional Arabic" w:cs="Traditional Arabic"/>
                <w:b/>
                <w:bCs/>
                <w:lang w:bidi="ar-EG"/>
              </w:rPr>
              <w:t>Nutrition Basics</w:t>
            </w:r>
            <w:r w:rsidRPr="003575BE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 </w:t>
            </w:r>
          </w:p>
          <w:p w:rsidR="00A6084A" w:rsidRPr="003575BE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575BE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أساسيات التغذية</w:t>
            </w:r>
          </w:p>
        </w:tc>
      </w:tr>
      <w:tr w:rsidR="00A6084A" w:rsidRPr="00D17382" w:rsidTr="00B05EB2">
        <w:tc>
          <w:tcPr>
            <w:tcW w:w="990" w:type="dxa"/>
          </w:tcPr>
          <w:p w:rsidR="00A6084A" w:rsidRPr="003575BE" w:rsidRDefault="00A6084A" w:rsidP="0092585D">
            <w:pPr>
              <w:spacing w:after="0" w:line="192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3575BE">
              <w:rPr>
                <w:rFonts w:ascii="Traditional Arabic" w:hAnsi="Traditional Arabic" w:cs="Traditional Arabic"/>
                <w:b/>
                <w:bCs/>
              </w:rPr>
              <w:t>2</w:t>
            </w:r>
          </w:p>
        </w:tc>
        <w:tc>
          <w:tcPr>
            <w:tcW w:w="720" w:type="dxa"/>
          </w:tcPr>
          <w:p w:rsidR="00A6084A" w:rsidRPr="003575BE" w:rsidRDefault="00A6084A" w:rsidP="0092585D">
            <w:pPr>
              <w:spacing w:after="0" w:line="192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3575BE">
              <w:rPr>
                <w:rFonts w:ascii="Traditional Arabic" w:hAnsi="Traditional Arabic" w:cs="Traditional Arabic"/>
                <w:b/>
                <w:bCs/>
              </w:rPr>
              <w:t>100</w:t>
            </w:r>
          </w:p>
        </w:tc>
        <w:tc>
          <w:tcPr>
            <w:tcW w:w="630" w:type="dxa"/>
          </w:tcPr>
          <w:p w:rsidR="00A6084A" w:rsidRPr="003575BE" w:rsidRDefault="00A6084A" w:rsidP="0092585D">
            <w:pPr>
              <w:pStyle w:val="ListParagraph"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575BE">
              <w:rPr>
                <w:rFonts w:ascii="Traditional Arabic" w:hAnsi="Traditional Arabic" w:cs="Traditional Arabic"/>
                <w:b/>
                <w:bCs/>
                <w:lang w:bidi="ar-EG"/>
              </w:rPr>
              <w:t>15</w:t>
            </w:r>
          </w:p>
        </w:tc>
        <w:tc>
          <w:tcPr>
            <w:tcW w:w="630" w:type="dxa"/>
          </w:tcPr>
          <w:p w:rsidR="00A6084A" w:rsidRPr="003575BE" w:rsidRDefault="00A6084A" w:rsidP="0092585D">
            <w:pPr>
              <w:pStyle w:val="ListParagraph"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575BE">
              <w:rPr>
                <w:rFonts w:ascii="Traditional Arabic" w:hAnsi="Traditional Arabic" w:cs="Traditional Arabic"/>
                <w:b/>
                <w:bCs/>
                <w:lang w:bidi="ar-EG"/>
              </w:rPr>
              <w:t>25</w:t>
            </w:r>
          </w:p>
        </w:tc>
        <w:tc>
          <w:tcPr>
            <w:tcW w:w="912" w:type="dxa"/>
          </w:tcPr>
          <w:p w:rsidR="00A6084A" w:rsidRPr="003575BE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575BE">
              <w:rPr>
                <w:rFonts w:ascii="Traditional Arabic" w:hAnsi="Traditional Arabic" w:cs="Traditional Arabic"/>
                <w:b/>
                <w:bCs/>
                <w:lang w:bidi="ar-EG"/>
              </w:rPr>
              <w:t>60</w:t>
            </w:r>
          </w:p>
        </w:tc>
        <w:tc>
          <w:tcPr>
            <w:tcW w:w="798" w:type="dxa"/>
          </w:tcPr>
          <w:p w:rsidR="00A6084A" w:rsidRPr="003575BE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575BE">
              <w:rPr>
                <w:rFonts w:ascii="Traditional Arabic" w:hAnsi="Traditional Arabic" w:cs="Traditional Arabic"/>
                <w:b/>
                <w:bCs/>
                <w:lang w:bidi="ar-EG"/>
              </w:rPr>
              <w:t>2+</w:t>
            </w:r>
            <w:r>
              <w:rPr>
                <w:rFonts w:ascii="Traditional Arabic" w:hAnsi="Traditional Arabic" w:cs="Traditional Arabic"/>
                <w:b/>
                <w:bCs/>
                <w:lang w:bidi="ar-EG"/>
              </w:rPr>
              <w:t>1</w:t>
            </w:r>
          </w:p>
        </w:tc>
        <w:tc>
          <w:tcPr>
            <w:tcW w:w="810" w:type="dxa"/>
          </w:tcPr>
          <w:p w:rsidR="00A6084A" w:rsidRPr="003575BE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575BE">
              <w:rPr>
                <w:rFonts w:ascii="Traditional Arabic" w:hAnsi="Traditional Arabic" w:cs="Traditional Arabic"/>
                <w:b/>
                <w:bCs/>
                <w:lang w:bidi="ar-EG"/>
              </w:rPr>
              <w:t>3</w:t>
            </w:r>
          </w:p>
        </w:tc>
        <w:tc>
          <w:tcPr>
            <w:tcW w:w="1080" w:type="dxa"/>
          </w:tcPr>
          <w:p w:rsidR="00A6084A" w:rsidRPr="003575BE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575BE">
              <w:rPr>
                <w:rFonts w:ascii="Traditional Arabic" w:hAnsi="Traditional Arabic" w:cs="Traditional Arabic"/>
                <w:b/>
                <w:bCs/>
                <w:lang w:bidi="ar-EG"/>
              </w:rPr>
              <w:t>BC-111</w:t>
            </w:r>
          </w:p>
        </w:tc>
        <w:tc>
          <w:tcPr>
            <w:tcW w:w="1980" w:type="dxa"/>
          </w:tcPr>
          <w:p w:rsidR="00A6084A" w:rsidRPr="003575BE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 w:rsidRPr="003575BE">
              <w:rPr>
                <w:rFonts w:ascii="Traditional Arabic" w:hAnsi="Traditional Arabic" w:cs="Traditional Arabic"/>
                <w:b/>
                <w:bCs/>
                <w:lang w:bidi="ar-EG"/>
              </w:rPr>
              <w:t>Obesity and Malnutrition</w:t>
            </w:r>
            <w:r w:rsidRPr="003575BE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 </w:t>
            </w:r>
          </w:p>
          <w:p w:rsidR="00A6084A" w:rsidRPr="003575BE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575BE">
              <w:rPr>
                <w:rFonts w:ascii="Traditional Arabic" w:hAnsi="Traditional Arabic" w:cs="Traditional Arabic" w:hint="cs"/>
                <w:b/>
                <w:bCs/>
                <w:rtl/>
                <w:lang w:bidi="ar-EG"/>
              </w:rPr>
              <w:t>السمنة وسوء التغذية</w:t>
            </w:r>
          </w:p>
        </w:tc>
      </w:tr>
      <w:tr w:rsidR="00A6084A" w:rsidRPr="00D17382" w:rsidTr="00B05EB2">
        <w:tc>
          <w:tcPr>
            <w:tcW w:w="990" w:type="dxa"/>
          </w:tcPr>
          <w:p w:rsidR="00A6084A" w:rsidRPr="003575BE" w:rsidRDefault="00A6084A" w:rsidP="0092585D">
            <w:pPr>
              <w:spacing w:after="0" w:line="192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3575BE">
              <w:rPr>
                <w:rFonts w:ascii="Traditional Arabic" w:hAnsi="Traditional Arabic" w:cs="Traditional Arabic"/>
                <w:b/>
                <w:bCs/>
              </w:rPr>
              <w:t>2</w:t>
            </w:r>
          </w:p>
        </w:tc>
        <w:tc>
          <w:tcPr>
            <w:tcW w:w="720" w:type="dxa"/>
          </w:tcPr>
          <w:p w:rsidR="00A6084A" w:rsidRPr="003575BE" w:rsidRDefault="00A6084A" w:rsidP="0092585D">
            <w:pPr>
              <w:spacing w:after="0" w:line="192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3575BE">
              <w:rPr>
                <w:rFonts w:ascii="Traditional Arabic" w:hAnsi="Traditional Arabic" w:cs="Traditional Arabic"/>
                <w:b/>
                <w:bCs/>
              </w:rPr>
              <w:t>100</w:t>
            </w:r>
          </w:p>
        </w:tc>
        <w:tc>
          <w:tcPr>
            <w:tcW w:w="630" w:type="dxa"/>
          </w:tcPr>
          <w:p w:rsidR="00A6084A" w:rsidRPr="003575BE" w:rsidRDefault="00A6084A" w:rsidP="0092585D">
            <w:pPr>
              <w:pStyle w:val="ListParagraph"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575BE">
              <w:rPr>
                <w:rFonts w:ascii="Traditional Arabic" w:hAnsi="Traditional Arabic" w:cs="Traditional Arabic"/>
                <w:b/>
                <w:bCs/>
                <w:lang w:bidi="ar-EG"/>
              </w:rPr>
              <w:t>15</w:t>
            </w:r>
          </w:p>
        </w:tc>
        <w:tc>
          <w:tcPr>
            <w:tcW w:w="630" w:type="dxa"/>
          </w:tcPr>
          <w:p w:rsidR="00A6084A" w:rsidRPr="003575BE" w:rsidRDefault="00A6084A" w:rsidP="0092585D">
            <w:pPr>
              <w:pStyle w:val="ListParagraph"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575BE">
              <w:rPr>
                <w:rFonts w:ascii="Traditional Arabic" w:hAnsi="Traditional Arabic" w:cs="Traditional Arabic"/>
                <w:b/>
                <w:bCs/>
                <w:lang w:bidi="ar-EG"/>
              </w:rPr>
              <w:t>25</w:t>
            </w:r>
          </w:p>
        </w:tc>
        <w:tc>
          <w:tcPr>
            <w:tcW w:w="912" w:type="dxa"/>
          </w:tcPr>
          <w:p w:rsidR="00A6084A" w:rsidRPr="003575BE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575BE">
              <w:rPr>
                <w:rFonts w:ascii="Traditional Arabic" w:hAnsi="Traditional Arabic" w:cs="Traditional Arabic"/>
                <w:b/>
                <w:bCs/>
                <w:lang w:bidi="ar-EG"/>
              </w:rPr>
              <w:t>60</w:t>
            </w:r>
          </w:p>
        </w:tc>
        <w:tc>
          <w:tcPr>
            <w:tcW w:w="798" w:type="dxa"/>
          </w:tcPr>
          <w:p w:rsidR="00A6084A" w:rsidRPr="003575BE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575BE">
              <w:rPr>
                <w:rFonts w:ascii="Traditional Arabic" w:hAnsi="Traditional Arabic" w:cs="Traditional Arabic"/>
                <w:b/>
                <w:bCs/>
                <w:lang w:bidi="ar-EG"/>
              </w:rPr>
              <w:t>2+</w:t>
            </w:r>
            <w:r>
              <w:rPr>
                <w:rFonts w:ascii="Traditional Arabic" w:hAnsi="Traditional Arabic" w:cs="Traditional Arabic"/>
                <w:b/>
                <w:bCs/>
                <w:lang w:bidi="ar-EG"/>
              </w:rPr>
              <w:t>1</w:t>
            </w:r>
          </w:p>
        </w:tc>
        <w:tc>
          <w:tcPr>
            <w:tcW w:w="810" w:type="dxa"/>
          </w:tcPr>
          <w:p w:rsidR="00A6084A" w:rsidRPr="003575BE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575BE">
              <w:rPr>
                <w:rFonts w:ascii="Traditional Arabic" w:hAnsi="Traditional Arabic" w:cs="Traditional Arabic"/>
                <w:b/>
                <w:bCs/>
                <w:lang w:bidi="ar-EG"/>
              </w:rPr>
              <w:t>3</w:t>
            </w:r>
          </w:p>
        </w:tc>
        <w:tc>
          <w:tcPr>
            <w:tcW w:w="1080" w:type="dxa"/>
          </w:tcPr>
          <w:p w:rsidR="00A6084A" w:rsidRPr="003575BE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575BE">
              <w:rPr>
                <w:rFonts w:ascii="Traditional Arabic" w:hAnsi="Traditional Arabic" w:cs="Traditional Arabic"/>
                <w:b/>
                <w:bCs/>
                <w:lang w:bidi="ar-EG"/>
              </w:rPr>
              <w:t>BC-112</w:t>
            </w:r>
          </w:p>
        </w:tc>
        <w:tc>
          <w:tcPr>
            <w:tcW w:w="1980" w:type="dxa"/>
          </w:tcPr>
          <w:p w:rsidR="00A6084A" w:rsidRPr="003575BE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 w:rsidRPr="003575BE">
              <w:rPr>
                <w:rFonts w:ascii="Traditional Arabic" w:hAnsi="Traditional Arabic" w:cs="Traditional Arabic"/>
                <w:b/>
                <w:bCs/>
                <w:lang w:bidi="ar-EG"/>
              </w:rPr>
              <w:t>Parenteral and Enteral Nutrition</w:t>
            </w:r>
            <w:r w:rsidRPr="003575BE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 </w:t>
            </w:r>
          </w:p>
          <w:p w:rsidR="00A6084A" w:rsidRPr="003575BE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575BE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التغذية الوريدية والمعوية </w:t>
            </w:r>
          </w:p>
        </w:tc>
      </w:tr>
      <w:tr w:rsidR="00A6084A" w:rsidRPr="00D17382" w:rsidTr="00B05EB2">
        <w:tc>
          <w:tcPr>
            <w:tcW w:w="990" w:type="dxa"/>
          </w:tcPr>
          <w:p w:rsidR="00A6084A" w:rsidRPr="003575BE" w:rsidRDefault="00A6084A" w:rsidP="0092585D">
            <w:pPr>
              <w:spacing w:after="0" w:line="192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3575BE">
              <w:rPr>
                <w:rFonts w:ascii="Traditional Arabic" w:hAnsi="Traditional Arabic" w:cs="Traditional Arabic"/>
                <w:b/>
                <w:bCs/>
              </w:rPr>
              <w:t>2</w:t>
            </w:r>
          </w:p>
        </w:tc>
        <w:tc>
          <w:tcPr>
            <w:tcW w:w="720" w:type="dxa"/>
          </w:tcPr>
          <w:p w:rsidR="00A6084A" w:rsidRPr="003575BE" w:rsidRDefault="00A6084A" w:rsidP="0092585D">
            <w:pPr>
              <w:spacing w:after="0" w:line="192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3575BE">
              <w:rPr>
                <w:rFonts w:ascii="Traditional Arabic" w:hAnsi="Traditional Arabic" w:cs="Traditional Arabic"/>
                <w:b/>
                <w:bCs/>
              </w:rPr>
              <w:t>100</w:t>
            </w:r>
          </w:p>
        </w:tc>
        <w:tc>
          <w:tcPr>
            <w:tcW w:w="630" w:type="dxa"/>
          </w:tcPr>
          <w:p w:rsidR="00A6084A" w:rsidRPr="003575BE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lang w:bidi="ar-EG"/>
              </w:rPr>
              <w:t>15</w:t>
            </w:r>
          </w:p>
        </w:tc>
        <w:tc>
          <w:tcPr>
            <w:tcW w:w="630" w:type="dxa"/>
          </w:tcPr>
          <w:p w:rsidR="00A6084A" w:rsidRPr="003575BE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lang w:bidi="ar-EG"/>
              </w:rPr>
              <w:t>25</w:t>
            </w:r>
          </w:p>
        </w:tc>
        <w:tc>
          <w:tcPr>
            <w:tcW w:w="912" w:type="dxa"/>
          </w:tcPr>
          <w:p w:rsidR="00A6084A" w:rsidRPr="003575BE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lang w:bidi="ar-EG"/>
              </w:rPr>
              <w:t>60</w:t>
            </w:r>
          </w:p>
        </w:tc>
        <w:tc>
          <w:tcPr>
            <w:tcW w:w="798" w:type="dxa"/>
          </w:tcPr>
          <w:p w:rsidR="00A6084A" w:rsidRPr="003575BE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575BE">
              <w:rPr>
                <w:rFonts w:ascii="Traditional Arabic" w:hAnsi="Traditional Arabic" w:cs="Traditional Arabic"/>
                <w:b/>
                <w:bCs/>
                <w:lang w:bidi="ar-EG"/>
              </w:rPr>
              <w:t>2+</w:t>
            </w:r>
            <w:r>
              <w:rPr>
                <w:rFonts w:ascii="Traditional Arabic" w:hAnsi="Traditional Arabic" w:cs="Traditional Arabic"/>
                <w:b/>
                <w:bCs/>
                <w:lang w:bidi="ar-EG"/>
              </w:rPr>
              <w:t>1</w:t>
            </w:r>
          </w:p>
        </w:tc>
        <w:tc>
          <w:tcPr>
            <w:tcW w:w="810" w:type="dxa"/>
          </w:tcPr>
          <w:p w:rsidR="00A6084A" w:rsidRPr="003575BE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lang w:bidi="ar-EG"/>
              </w:rPr>
              <w:t>3</w:t>
            </w:r>
          </w:p>
        </w:tc>
        <w:tc>
          <w:tcPr>
            <w:tcW w:w="1080" w:type="dxa"/>
          </w:tcPr>
          <w:p w:rsidR="00A6084A" w:rsidRPr="003575BE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575BE">
              <w:rPr>
                <w:rFonts w:ascii="Traditional Arabic" w:hAnsi="Traditional Arabic" w:cs="Traditional Arabic"/>
                <w:b/>
                <w:bCs/>
                <w:lang w:bidi="ar-EG"/>
              </w:rPr>
              <w:t>BC-113</w:t>
            </w:r>
          </w:p>
        </w:tc>
        <w:tc>
          <w:tcPr>
            <w:tcW w:w="1980" w:type="dxa"/>
          </w:tcPr>
          <w:p w:rsidR="00A6084A" w:rsidRPr="003575BE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 w:rsidRPr="003575BE">
              <w:rPr>
                <w:rFonts w:ascii="Traditional Arabic" w:hAnsi="Traditional Arabic" w:cs="Traditional Arabic"/>
                <w:b/>
                <w:bCs/>
                <w:lang w:bidi="ar-EG"/>
              </w:rPr>
              <w:t>Pediatric and Geriatric Nutrition</w:t>
            </w:r>
            <w:r w:rsidRPr="003575BE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 </w:t>
            </w:r>
          </w:p>
          <w:p w:rsidR="00A6084A" w:rsidRPr="003575BE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575BE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تغذية الأطفال والمسنين</w:t>
            </w:r>
          </w:p>
        </w:tc>
      </w:tr>
      <w:tr w:rsidR="00A6084A" w:rsidRPr="00D17382" w:rsidTr="00B05EB2">
        <w:tc>
          <w:tcPr>
            <w:tcW w:w="990" w:type="dxa"/>
          </w:tcPr>
          <w:p w:rsidR="00A6084A" w:rsidRPr="003575BE" w:rsidRDefault="00A6084A" w:rsidP="0092585D">
            <w:pPr>
              <w:spacing w:after="0" w:line="192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3575BE">
              <w:rPr>
                <w:rFonts w:ascii="Traditional Arabic" w:hAnsi="Traditional Arabic" w:cs="Traditional Arabic"/>
                <w:b/>
                <w:bCs/>
              </w:rPr>
              <w:t>2</w:t>
            </w:r>
          </w:p>
        </w:tc>
        <w:tc>
          <w:tcPr>
            <w:tcW w:w="720" w:type="dxa"/>
          </w:tcPr>
          <w:p w:rsidR="00A6084A" w:rsidRPr="003575BE" w:rsidRDefault="00A6084A" w:rsidP="0092585D">
            <w:pPr>
              <w:spacing w:after="0" w:line="192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3575BE">
              <w:rPr>
                <w:rFonts w:ascii="Traditional Arabic" w:hAnsi="Traditional Arabic" w:cs="Traditional Arabic"/>
                <w:b/>
                <w:bCs/>
              </w:rPr>
              <w:t>100</w:t>
            </w:r>
          </w:p>
        </w:tc>
        <w:tc>
          <w:tcPr>
            <w:tcW w:w="630" w:type="dxa"/>
          </w:tcPr>
          <w:p w:rsidR="00A6084A" w:rsidRPr="003575BE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575BE">
              <w:rPr>
                <w:rFonts w:ascii="Traditional Arabic" w:hAnsi="Traditional Arabic" w:cs="Traditional Arabic"/>
                <w:b/>
                <w:bCs/>
                <w:lang w:bidi="ar-EG"/>
              </w:rPr>
              <w:t>15</w:t>
            </w:r>
          </w:p>
        </w:tc>
        <w:tc>
          <w:tcPr>
            <w:tcW w:w="630" w:type="dxa"/>
          </w:tcPr>
          <w:p w:rsidR="00A6084A" w:rsidRPr="003575BE" w:rsidRDefault="00DA78BE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lang w:bidi="ar-EG"/>
              </w:rPr>
              <w:t>25</w:t>
            </w:r>
          </w:p>
        </w:tc>
        <w:tc>
          <w:tcPr>
            <w:tcW w:w="912" w:type="dxa"/>
          </w:tcPr>
          <w:p w:rsidR="00A6084A" w:rsidRPr="003575BE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575BE">
              <w:rPr>
                <w:rFonts w:ascii="Traditional Arabic" w:hAnsi="Traditional Arabic" w:cs="Traditional Arabic"/>
                <w:b/>
                <w:bCs/>
                <w:lang w:bidi="ar-EG"/>
              </w:rPr>
              <w:t>60</w:t>
            </w:r>
          </w:p>
        </w:tc>
        <w:tc>
          <w:tcPr>
            <w:tcW w:w="798" w:type="dxa"/>
          </w:tcPr>
          <w:p w:rsidR="00A6084A" w:rsidRPr="003575BE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575BE">
              <w:rPr>
                <w:rFonts w:ascii="Traditional Arabic" w:hAnsi="Traditional Arabic" w:cs="Traditional Arabic"/>
                <w:b/>
                <w:bCs/>
                <w:lang w:bidi="ar-EG"/>
              </w:rPr>
              <w:t>2+</w:t>
            </w:r>
            <w:r>
              <w:rPr>
                <w:rFonts w:ascii="Traditional Arabic" w:hAnsi="Traditional Arabic" w:cs="Traditional Arabic"/>
                <w:b/>
                <w:bCs/>
                <w:lang w:bidi="ar-EG"/>
              </w:rPr>
              <w:t>1</w:t>
            </w:r>
          </w:p>
        </w:tc>
        <w:tc>
          <w:tcPr>
            <w:tcW w:w="810" w:type="dxa"/>
          </w:tcPr>
          <w:p w:rsidR="00A6084A" w:rsidRPr="003575BE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575BE">
              <w:rPr>
                <w:rFonts w:ascii="Traditional Arabic" w:hAnsi="Traditional Arabic" w:cs="Traditional Arabic"/>
                <w:b/>
                <w:bCs/>
                <w:lang w:bidi="ar-EG"/>
              </w:rPr>
              <w:t>3</w:t>
            </w:r>
          </w:p>
        </w:tc>
        <w:tc>
          <w:tcPr>
            <w:tcW w:w="1080" w:type="dxa"/>
          </w:tcPr>
          <w:p w:rsidR="00A6084A" w:rsidRPr="003575BE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575BE">
              <w:rPr>
                <w:rFonts w:ascii="Traditional Arabic" w:hAnsi="Traditional Arabic" w:cs="Traditional Arabic"/>
                <w:b/>
                <w:bCs/>
                <w:lang w:bidi="ar-EG"/>
              </w:rPr>
              <w:t>BC-114</w:t>
            </w:r>
          </w:p>
        </w:tc>
        <w:tc>
          <w:tcPr>
            <w:tcW w:w="1980" w:type="dxa"/>
          </w:tcPr>
          <w:p w:rsidR="00A6084A" w:rsidRPr="003575BE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 w:rsidRPr="003575BE">
              <w:rPr>
                <w:rFonts w:ascii="Traditional Arabic" w:hAnsi="Traditional Arabic" w:cs="Traditional Arabic"/>
                <w:b/>
                <w:bCs/>
                <w:lang w:bidi="ar-EG"/>
              </w:rPr>
              <w:t>Sports Nutrition</w:t>
            </w:r>
            <w:r w:rsidRPr="003575BE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 </w:t>
            </w:r>
          </w:p>
          <w:p w:rsidR="00A6084A" w:rsidRPr="003575BE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575BE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تغذية الرياضيين</w:t>
            </w:r>
          </w:p>
        </w:tc>
      </w:tr>
      <w:tr w:rsidR="00A6084A" w:rsidRPr="00D17382" w:rsidTr="00B05EB2">
        <w:tc>
          <w:tcPr>
            <w:tcW w:w="990" w:type="dxa"/>
          </w:tcPr>
          <w:p w:rsidR="00A6084A" w:rsidRPr="003575BE" w:rsidRDefault="00A6084A" w:rsidP="0092585D">
            <w:pPr>
              <w:spacing w:after="0" w:line="192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</w:rPr>
              <w:t>1</w:t>
            </w:r>
          </w:p>
        </w:tc>
        <w:tc>
          <w:tcPr>
            <w:tcW w:w="720" w:type="dxa"/>
          </w:tcPr>
          <w:p w:rsidR="00A6084A" w:rsidRPr="003575BE" w:rsidRDefault="00A6084A" w:rsidP="0092585D">
            <w:pPr>
              <w:spacing w:after="0" w:line="192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</w:rPr>
              <w:t>100</w:t>
            </w:r>
          </w:p>
        </w:tc>
        <w:tc>
          <w:tcPr>
            <w:tcW w:w="630" w:type="dxa"/>
          </w:tcPr>
          <w:p w:rsidR="00A6084A" w:rsidRPr="003575BE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lang w:bidi="ar-EG"/>
              </w:rPr>
              <w:t>-</w:t>
            </w:r>
          </w:p>
        </w:tc>
        <w:tc>
          <w:tcPr>
            <w:tcW w:w="630" w:type="dxa"/>
          </w:tcPr>
          <w:p w:rsidR="00A6084A" w:rsidRPr="003575BE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lang w:bidi="ar-EG"/>
              </w:rPr>
              <w:t>40</w:t>
            </w:r>
          </w:p>
        </w:tc>
        <w:tc>
          <w:tcPr>
            <w:tcW w:w="912" w:type="dxa"/>
          </w:tcPr>
          <w:p w:rsidR="00A6084A" w:rsidRPr="003575BE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3575BE">
              <w:rPr>
                <w:rFonts w:ascii="Traditional Arabic" w:hAnsi="Traditional Arabic" w:cs="Traditional Arabic"/>
                <w:b/>
                <w:bCs/>
                <w:lang w:bidi="ar-EG"/>
              </w:rPr>
              <w:t>60</w:t>
            </w:r>
          </w:p>
        </w:tc>
        <w:tc>
          <w:tcPr>
            <w:tcW w:w="798" w:type="dxa"/>
          </w:tcPr>
          <w:p w:rsidR="00A6084A" w:rsidRPr="003575BE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lang w:bidi="ar-EG"/>
              </w:rPr>
              <w:t>1+1</w:t>
            </w:r>
          </w:p>
        </w:tc>
        <w:tc>
          <w:tcPr>
            <w:tcW w:w="810" w:type="dxa"/>
          </w:tcPr>
          <w:p w:rsidR="00A6084A" w:rsidRPr="003575BE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lang w:bidi="ar-EG"/>
              </w:rPr>
              <w:t>2</w:t>
            </w:r>
          </w:p>
        </w:tc>
        <w:tc>
          <w:tcPr>
            <w:tcW w:w="1080" w:type="dxa"/>
          </w:tcPr>
          <w:p w:rsidR="00A6084A" w:rsidRPr="002B3178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cs="Traditional Arabic"/>
                <w:b/>
                <w:bCs/>
                <w:lang w:bidi="ar-EG"/>
              </w:rPr>
            </w:pPr>
            <w:r>
              <w:rPr>
                <w:rFonts w:cs="Traditional Arabic"/>
                <w:b/>
                <w:bCs/>
                <w:lang w:bidi="ar-EG"/>
              </w:rPr>
              <w:t>BC- 115</w:t>
            </w:r>
          </w:p>
        </w:tc>
        <w:tc>
          <w:tcPr>
            <w:tcW w:w="1980" w:type="dxa"/>
          </w:tcPr>
          <w:p w:rsidR="00A6084A" w:rsidRDefault="00B22FF3" w:rsidP="00B22FF3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lang w:bidi="ar-EG"/>
              </w:rPr>
              <w:t>Drug and Poison Information</w:t>
            </w:r>
          </w:p>
          <w:p w:rsidR="00A6084A" w:rsidRPr="003575BE" w:rsidRDefault="00B22FF3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EG"/>
              </w:rPr>
              <w:t>معلومات الدواء والسموم</w:t>
            </w:r>
          </w:p>
        </w:tc>
      </w:tr>
      <w:tr w:rsidR="00A6084A" w:rsidRPr="00510AEA" w:rsidTr="00B05EB2">
        <w:tc>
          <w:tcPr>
            <w:tcW w:w="4680" w:type="dxa"/>
            <w:gridSpan w:val="6"/>
          </w:tcPr>
          <w:p w:rsidR="00A6084A" w:rsidRPr="00510AEA" w:rsidRDefault="00A6084A" w:rsidP="0092585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</w:p>
        </w:tc>
        <w:tc>
          <w:tcPr>
            <w:tcW w:w="810" w:type="dxa"/>
          </w:tcPr>
          <w:p w:rsidR="00A6084A" w:rsidRPr="00510AEA" w:rsidRDefault="00A6084A" w:rsidP="0092585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lang w:bidi="ar-EG"/>
              </w:rPr>
              <w:t>17</w:t>
            </w:r>
          </w:p>
        </w:tc>
        <w:tc>
          <w:tcPr>
            <w:tcW w:w="3060" w:type="dxa"/>
            <w:gridSpan w:val="2"/>
          </w:tcPr>
          <w:p w:rsidR="00A6084A" w:rsidRPr="00510AEA" w:rsidRDefault="00A6084A" w:rsidP="0092585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510AEA">
              <w:rPr>
                <w:rFonts w:ascii="Traditional Arabic" w:hAnsi="Traditional Arabic" w:cs="Traditional Arabic"/>
                <w:b/>
                <w:bCs/>
                <w:lang w:bidi="ar-EG"/>
              </w:rPr>
              <w:t>Total Credit Hours</w:t>
            </w:r>
          </w:p>
        </w:tc>
      </w:tr>
    </w:tbl>
    <w:p w:rsidR="00A6084A" w:rsidRDefault="00A6084A" w:rsidP="00A6084A">
      <w:pPr>
        <w:bidi/>
        <w:spacing w:after="0"/>
        <w:rPr>
          <w:sz w:val="16"/>
          <w:szCs w:val="16"/>
          <w:rtl/>
          <w:lang w:bidi="ar-EG"/>
        </w:rPr>
      </w:pPr>
    </w:p>
    <w:p w:rsidR="008346FC" w:rsidRPr="00C65966" w:rsidRDefault="008346FC" w:rsidP="008346FC">
      <w:pPr>
        <w:bidi/>
        <w:spacing w:after="0"/>
        <w:rPr>
          <w:sz w:val="16"/>
          <w:szCs w:val="16"/>
          <w:lang w:bidi="ar-EG"/>
        </w:rPr>
      </w:pPr>
    </w:p>
    <w:tbl>
      <w:tblPr>
        <w:tblStyle w:val="TableGrid"/>
        <w:bidiVisual/>
        <w:tblW w:w="8550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900"/>
        <w:gridCol w:w="810"/>
        <w:gridCol w:w="630"/>
        <w:gridCol w:w="630"/>
        <w:gridCol w:w="990"/>
        <w:gridCol w:w="810"/>
        <w:gridCol w:w="810"/>
        <w:gridCol w:w="990"/>
        <w:gridCol w:w="1980"/>
      </w:tblGrid>
      <w:tr w:rsidR="00A6084A" w:rsidRPr="00FB5414" w:rsidTr="00B05EB2">
        <w:tc>
          <w:tcPr>
            <w:tcW w:w="900" w:type="dxa"/>
            <w:vMerge w:val="restart"/>
          </w:tcPr>
          <w:p w:rsidR="00A6084A" w:rsidRPr="00510AEA" w:rsidRDefault="00A6084A" w:rsidP="0092585D">
            <w:pPr>
              <w:pStyle w:val="ListParagraph"/>
              <w:spacing w:before="360"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 w:rsidRPr="00510AEA">
              <w:rPr>
                <w:rFonts w:ascii="Traditional Arabic" w:hAnsi="Traditional Arabic" w:cs="Traditional Arabic"/>
                <w:b/>
                <w:bCs/>
                <w:lang w:bidi="ar-EG"/>
              </w:rPr>
              <w:t>Exam Hours</w:t>
            </w:r>
          </w:p>
        </w:tc>
        <w:tc>
          <w:tcPr>
            <w:tcW w:w="3060" w:type="dxa"/>
            <w:gridSpan w:val="4"/>
          </w:tcPr>
          <w:p w:rsidR="00A6084A" w:rsidRPr="00510AEA" w:rsidRDefault="00A6084A" w:rsidP="0092585D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  <w:lang w:bidi="ar-EG"/>
              </w:rPr>
            </w:pPr>
          </w:p>
          <w:p w:rsidR="00A6084A" w:rsidRPr="00510AEA" w:rsidRDefault="00A6084A" w:rsidP="0092585D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510AEA">
              <w:rPr>
                <w:rFonts w:ascii="Traditional Arabic" w:hAnsi="Traditional Arabic" w:cs="Traditional Arabic"/>
                <w:b/>
                <w:bCs/>
                <w:lang w:bidi="ar-EG"/>
              </w:rPr>
              <w:t>Exam</w:t>
            </w:r>
            <w:r w:rsidRPr="00510AEA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 </w:t>
            </w:r>
            <w:r w:rsidRPr="00510AEA">
              <w:rPr>
                <w:rFonts w:ascii="Traditional Arabic" w:hAnsi="Traditional Arabic" w:cs="Traditional Arabic"/>
                <w:b/>
                <w:bCs/>
                <w:lang w:bidi="ar-EG"/>
              </w:rPr>
              <w:t>Marks</w:t>
            </w:r>
          </w:p>
        </w:tc>
        <w:tc>
          <w:tcPr>
            <w:tcW w:w="4590" w:type="dxa"/>
            <w:gridSpan w:val="4"/>
          </w:tcPr>
          <w:p w:rsidR="00A6084A" w:rsidRPr="00510AEA" w:rsidRDefault="00A6084A" w:rsidP="0092585D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  <w:lang w:bidi="ar-EG"/>
              </w:rPr>
            </w:pPr>
          </w:p>
          <w:p w:rsidR="00A6084A" w:rsidRPr="00510AEA" w:rsidRDefault="00A6084A" w:rsidP="0092585D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510AEA">
              <w:rPr>
                <w:rFonts w:ascii="Traditional Arabic" w:hAnsi="Traditional Arabic" w:cs="Traditional Arabic"/>
                <w:b/>
                <w:bCs/>
                <w:lang w:bidi="ar-EG"/>
              </w:rPr>
              <w:t>Courses of the Second</w:t>
            </w:r>
            <w:r w:rsidRPr="00510AEA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 </w:t>
            </w:r>
            <w:r w:rsidRPr="00510AEA">
              <w:rPr>
                <w:rFonts w:ascii="Traditional Arabic" w:hAnsi="Traditional Arabic" w:cs="Traditional Arabic"/>
                <w:b/>
                <w:bCs/>
                <w:lang w:bidi="ar-EG"/>
              </w:rPr>
              <w:t>Semester</w:t>
            </w:r>
          </w:p>
        </w:tc>
      </w:tr>
      <w:tr w:rsidR="00A6084A" w:rsidRPr="00FB5414" w:rsidTr="00B05EB2">
        <w:tc>
          <w:tcPr>
            <w:tcW w:w="900" w:type="dxa"/>
            <w:vMerge/>
          </w:tcPr>
          <w:p w:rsidR="00A6084A" w:rsidRPr="00FB5414" w:rsidRDefault="00A6084A" w:rsidP="0092585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lang w:bidi="ar-EG"/>
              </w:rPr>
            </w:pPr>
          </w:p>
        </w:tc>
        <w:tc>
          <w:tcPr>
            <w:tcW w:w="810" w:type="dxa"/>
          </w:tcPr>
          <w:p w:rsidR="00A6084A" w:rsidRPr="00FB5414" w:rsidRDefault="00A6084A" w:rsidP="0092585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FB5414">
              <w:rPr>
                <w:rFonts w:ascii="Traditional Arabic" w:hAnsi="Traditional Arabic" w:cs="Traditional Arabic"/>
                <w:lang w:bidi="ar-EG"/>
              </w:rPr>
              <w:t>Total</w:t>
            </w:r>
          </w:p>
        </w:tc>
        <w:tc>
          <w:tcPr>
            <w:tcW w:w="630" w:type="dxa"/>
          </w:tcPr>
          <w:p w:rsidR="00A6084A" w:rsidRPr="00FB5414" w:rsidRDefault="00A6084A" w:rsidP="0092585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FB5414">
              <w:rPr>
                <w:rFonts w:ascii="Traditional Arabic" w:hAnsi="Traditional Arabic" w:cs="Traditional Arabic"/>
                <w:lang w:bidi="ar-EG"/>
              </w:rPr>
              <w:t>Oral</w:t>
            </w:r>
          </w:p>
        </w:tc>
        <w:tc>
          <w:tcPr>
            <w:tcW w:w="630" w:type="dxa"/>
          </w:tcPr>
          <w:p w:rsidR="00A6084A" w:rsidRPr="00FB5414" w:rsidRDefault="00A6084A" w:rsidP="0092585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lang w:bidi="ar-EG"/>
              </w:rPr>
              <w:t>P/T</w:t>
            </w:r>
          </w:p>
        </w:tc>
        <w:tc>
          <w:tcPr>
            <w:tcW w:w="990" w:type="dxa"/>
          </w:tcPr>
          <w:p w:rsidR="00A6084A" w:rsidRPr="00FB5414" w:rsidRDefault="00A6084A" w:rsidP="0092585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FB5414">
              <w:rPr>
                <w:rFonts w:ascii="Traditional Arabic" w:hAnsi="Traditional Arabic" w:cs="Traditional Arabic"/>
                <w:lang w:bidi="ar-EG"/>
              </w:rPr>
              <w:t>Written</w:t>
            </w:r>
          </w:p>
        </w:tc>
        <w:tc>
          <w:tcPr>
            <w:tcW w:w="810" w:type="dxa"/>
          </w:tcPr>
          <w:p w:rsidR="00A6084A" w:rsidRPr="00FB5414" w:rsidRDefault="00A6084A" w:rsidP="0092585D">
            <w:pPr>
              <w:pStyle w:val="ListParagraph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FB5414">
              <w:rPr>
                <w:rFonts w:ascii="Traditional Arabic" w:hAnsi="Traditional Arabic" w:cs="Traditional Arabic"/>
                <w:lang w:bidi="ar-EG"/>
              </w:rPr>
              <w:t xml:space="preserve">L+P/T </w:t>
            </w:r>
          </w:p>
        </w:tc>
        <w:tc>
          <w:tcPr>
            <w:tcW w:w="810" w:type="dxa"/>
          </w:tcPr>
          <w:p w:rsidR="00A6084A" w:rsidRPr="00FB5414" w:rsidRDefault="00A6084A" w:rsidP="0092585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FB5414">
              <w:rPr>
                <w:rFonts w:ascii="Traditional Arabic" w:hAnsi="Traditional Arabic" w:cs="Traditional Arabic"/>
                <w:lang w:bidi="ar-EG"/>
              </w:rPr>
              <w:t>Credit Hours</w:t>
            </w:r>
          </w:p>
        </w:tc>
        <w:tc>
          <w:tcPr>
            <w:tcW w:w="990" w:type="dxa"/>
          </w:tcPr>
          <w:p w:rsidR="00A6084A" w:rsidRPr="00FB5414" w:rsidRDefault="00A6084A" w:rsidP="0092585D">
            <w:pPr>
              <w:pStyle w:val="ListParagraph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FB5414">
              <w:rPr>
                <w:rFonts w:ascii="Traditional Arabic" w:hAnsi="Traditional Arabic" w:cs="Traditional Arabic"/>
                <w:lang w:bidi="ar-EG"/>
              </w:rPr>
              <w:t>Course Code</w:t>
            </w:r>
          </w:p>
        </w:tc>
        <w:tc>
          <w:tcPr>
            <w:tcW w:w="1980" w:type="dxa"/>
          </w:tcPr>
          <w:p w:rsidR="00A6084A" w:rsidRPr="00FB5414" w:rsidRDefault="00A6084A" w:rsidP="0092585D">
            <w:pPr>
              <w:pStyle w:val="ListParagraph"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FB5414">
              <w:rPr>
                <w:rFonts w:ascii="Traditional Arabic" w:hAnsi="Traditional Arabic" w:cs="Traditional Arabic"/>
                <w:lang w:bidi="ar-EG"/>
              </w:rPr>
              <w:t>Course Title</w:t>
            </w:r>
          </w:p>
        </w:tc>
      </w:tr>
      <w:tr w:rsidR="00A6084A" w:rsidRPr="00510AEA" w:rsidTr="00B05EB2">
        <w:tc>
          <w:tcPr>
            <w:tcW w:w="900" w:type="dxa"/>
          </w:tcPr>
          <w:p w:rsidR="00A6084A" w:rsidRPr="00510AEA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 w:rsidRPr="00510AEA">
              <w:rPr>
                <w:rFonts w:ascii="Traditional Arabic" w:hAnsi="Traditional Arabic" w:cs="Traditional Arabic"/>
                <w:b/>
                <w:bCs/>
                <w:lang w:bidi="ar-EG"/>
              </w:rPr>
              <w:t>2</w:t>
            </w:r>
          </w:p>
        </w:tc>
        <w:tc>
          <w:tcPr>
            <w:tcW w:w="810" w:type="dxa"/>
          </w:tcPr>
          <w:p w:rsidR="00A6084A" w:rsidRPr="00510AEA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510AEA">
              <w:rPr>
                <w:rFonts w:ascii="Traditional Arabic" w:hAnsi="Traditional Arabic" w:cs="Traditional Arabic"/>
                <w:b/>
                <w:bCs/>
                <w:lang w:bidi="ar-EG"/>
              </w:rPr>
              <w:t>100</w:t>
            </w:r>
          </w:p>
        </w:tc>
        <w:tc>
          <w:tcPr>
            <w:tcW w:w="630" w:type="dxa"/>
          </w:tcPr>
          <w:p w:rsidR="00A6084A" w:rsidRPr="00510AEA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510AEA">
              <w:rPr>
                <w:rFonts w:ascii="Traditional Arabic" w:hAnsi="Traditional Arabic" w:cs="Traditional Arabic"/>
                <w:b/>
                <w:bCs/>
                <w:lang w:bidi="ar-EG"/>
              </w:rPr>
              <w:t>15</w:t>
            </w:r>
          </w:p>
        </w:tc>
        <w:tc>
          <w:tcPr>
            <w:tcW w:w="630" w:type="dxa"/>
          </w:tcPr>
          <w:p w:rsidR="00A6084A" w:rsidRPr="00510AEA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510AEA">
              <w:rPr>
                <w:rFonts w:ascii="Traditional Arabic" w:hAnsi="Traditional Arabic" w:cs="Traditional Arabic"/>
                <w:b/>
                <w:bCs/>
                <w:lang w:bidi="ar-EG"/>
              </w:rPr>
              <w:t>25</w:t>
            </w:r>
          </w:p>
        </w:tc>
        <w:tc>
          <w:tcPr>
            <w:tcW w:w="990" w:type="dxa"/>
          </w:tcPr>
          <w:p w:rsidR="00A6084A" w:rsidRPr="00510AEA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510AEA">
              <w:rPr>
                <w:rFonts w:ascii="Traditional Arabic" w:hAnsi="Traditional Arabic" w:cs="Traditional Arabic"/>
                <w:b/>
                <w:bCs/>
                <w:lang w:bidi="ar-EG"/>
              </w:rPr>
              <w:t>60</w:t>
            </w:r>
          </w:p>
        </w:tc>
        <w:tc>
          <w:tcPr>
            <w:tcW w:w="810" w:type="dxa"/>
          </w:tcPr>
          <w:p w:rsidR="00A6084A" w:rsidRPr="00510AEA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510AEA">
              <w:rPr>
                <w:rFonts w:ascii="Traditional Arabic" w:hAnsi="Traditional Arabic" w:cs="Traditional Arabic"/>
                <w:b/>
                <w:bCs/>
                <w:lang w:bidi="ar-EG"/>
              </w:rPr>
              <w:t>2+</w:t>
            </w:r>
            <w:r>
              <w:rPr>
                <w:rFonts w:ascii="Traditional Arabic" w:hAnsi="Traditional Arabic" w:cs="Traditional Arabic"/>
                <w:b/>
                <w:bCs/>
                <w:lang w:bidi="ar-EG"/>
              </w:rPr>
              <w:t>1</w:t>
            </w:r>
          </w:p>
        </w:tc>
        <w:tc>
          <w:tcPr>
            <w:tcW w:w="810" w:type="dxa"/>
          </w:tcPr>
          <w:p w:rsidR="00A6084A" w:rsidRPr="00510AEA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510AEA">
              <w:rPr>
                <w:rFonts w:ascii="Traditional Arabic" w:hAnsi="Traditional Arabic" w:cs="Traditional Arabic"/>
                <w:b/>
                <w:bCs/>
                <w:lang w:bidi="ar-EG"/>
              </w:rPr>
              <w:t>3</w:t>
            </w:r>
          </w:p>
        </w:tc>
        <w:tc>
          <w:tcPr>
            <w:tcW w:w="990" w:type="dxa"/>
          </w:tcPr>
          <w:p w:rsidR="00A6084A" w:rsidRPr="00510AEA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 w:rsidRPr="00510AEA">
              <w:rPr>
                <w:rFonts w:ascii="Traditional Arabic" w:hAnsi="Traditional Arabic" w:cs="Traditional Arabic"/>
                <w:b/>
                <w:bCs/>
                <w:lang w:bidi="ar-EG"/>
              </w:rPr>
              <w:t>BC-216</w:t>
            </w:r>
          </w:p>
        </w:tc>
        <w:tc>
          <w:tcPr>
            <w:tcW w:w="1980" w:type="dxa"/>
          </w:tcPr>
          <w:p w:rsidR="00A6084A" w:rsidRPr="00510AEA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510AEA">
              <w:rPr>
                <w:rFonts w:ascii="Traditional Arabic" w:hAnsi="Traditional Arabic" w:cs="Traditional Arabic"/>
                <w:b/>
                <w:bCs/>
                <w:lang w:bidi="ar-EG"/>
              </w:rPr>
              <w:t>Nutrition for GIT Diseases</w:t>
            </w:r>
            <w:r w:rsidRPr="00510AEA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 </w:t>
            </w:r>
          </w:p>
          <w:p w:rsidR="00A6084A" w:rsidRPr="00510AEA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510AEA">
              <w:rPr>
                <w:rFonts w:ascii="Traditional Arabic" w:hAnsi="Traditional Arabic" w:cs="Traditional Arabic" w:hint="cs"/>
                <w:b/>
                <w:bCs/>
                <w:rtl/>
                <w:lang w:bidi="ar-EG"/>
              </w:rPr>
              <w:t>ال</w:t>
            </w:r>
            <w:r w:rsidRPr="00510AEA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تغذية </w:t>
            </w:r>
            <w:r w:rsidRPr="00510AEA">
              <w:rPr>
                <w:rFonts w:ascii="Traditional Arabic" w:hAnsi="Traditional Arabic" w:cs="Traditional Arabic" w:hint="cs"/>
                <w:b/>
                <w:bCs/>
                <w:rtl/>
                <w:lang w:bidi="ar-EG"/>
              </w:rPr>
              <w:t>ل</w:t>
            </w:r>
            <w:r w:rsidRPr="00510AEA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أمراض الجهاز الهضمي</w:t>
            </w:r>
          </w:p>
        </w:tc>
      </w:tr>
      <w:tr w:rsidR="00A6084A" w:rsidRPr="00510AEA" w:rsidTr="00B05EB2">
        <w:tc>
          <w:tcPr>
            <w:tcW w:w="900" w:type="dxa"/>
          </w:tcPr>
          <w:p w:rsidR="00A6084A" w:rsidRPr="00510AEA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 w:rsidRPr="00510AEA">
              <w:rPr>
                <w:rFonts w:ascii="Traditional Arabic" w:hAnsi="Traditional Arabic" w:cs="Traditional Arabic"/>
                <w:b/>
                <w:bCs/>
                <w:lang w:bidi="ar-EG"/>
              </w:rPr>
              <w:t>2</w:t>
            </w:r>
          </w:p>
        </w:tc>
        <w:tc>
          <w:tcPr>
            <w:tcW w:w="810" w:type="dxa"/>
          </w:tcPr>
          <w:p w:rsidR="00A6084A" w:rsidRPr="00510AEA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510AEA">
              <w:rPr>
                <w:rFonts w:ascii="Traditional Arabic" w:hAnsi="Traditional Arabic" w:cs="Traditional Arabic"/>
                <w:b/>
                <w:bCs/>
                <w:lang w:bidi="ar-EG"/>
              </w:rPr>
              <w:t>100</w:t>
            </w:r>
          </w:p>
        </w:tc>
        <w:tc>
          <w:tcPr>
            <w:tcW w:w="630" w:type="dxa"/>
          </w:tcPr>
          <w:p w:rsidR="00A6084A" w:rsidRPr="00510AEA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510AEA">
              <w:rPr>
                <w:rFonts w:ascii="Traditional Arabic" w:hAnsi="Traditional Arabic" w:cs="Traditional Arabic"/>
                <w:b/>
                <w:bCs/>
                <w:lang w:bidi="ar-EG"/>
              </w:rPr>
              <w:t>15</w:t>
            </w:r>
          </w:p>
        </w:tc>
        <w:tc>
          <w:tcPr>
            <w:tcW w:w="630" w:type="dxa"/>
          </w:tcPr>
          <w:p w:rsidR="00A6084A" w:rsidRPr="00510AEA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510AEA">
              <w:rPr>
                <w:rFonts w:ascii="Traditional Arabic" w:hAnsi="Traditional Arabic" w:cs="Traditional Arabic"/>
                <w:b/>
                <w:bCs/>
                <w:lang w:bidi="ar-EG"/>
              </w:rPr>
              <w:t>25</w:t>
            </w:r>
          </w:p>
        </w:tc>
        <w:tc>
          <w:tcPr>
            <w:tcW w:w="990" w:type="dxa"/>
          </w:tcPr>
          <w:p w:rsidR="00A6084A" w:rsidRPr="00510AEA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510AEA">
              <w:rPr>
                <w:rFonts w:ascii="Traditional Arabic" w:hAnsi="Traditional Arabic" w:cs="Traditional Arabic"/>
                <w:b/>
                <w:bCs/>
                <w:lang w:bidi="ar-EG"/>
              </w:rPr>
              <w:t>60</w:t>
            </w:r>
          </w:p>
        </w:tc>
        <w:tc>
          <w:tcPr>
            <w:tcW w:w="810" w:type="dxa"/>
          </w:tcPr>
          <w:p w:rsidR="00A6084A" w:rsidRPr="00510AEA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510AEA">
              <w:rPr>
                <w:rFonts w:ascii="Traditional Arabic" w:hAnsi="Traditional Arabic" w:cs="Traditional Arabic"/>
                <w:b/>
                <w:bCs/>
                <w:lang w:bidi="ar-EG"/>
              </w:rPr>
              <w:t>2+</w:t>
            </w:r>
            <w:r>
              <w:rPr>
                <w:rFonts w:ascii="Traditional Arabic" w:hAnsi="Traditional Arabic" w:cs="Traditional Arabic"/>
                <w:b/>
                <w:bCs/>
                <w:lang w:bidi="ar-EG"/>
              </w:rPr>
              <w:t>1</w:t>
            </w:r>
          </w:p>
        </w:tc>
        <w:tc>
          <w:tcPr>
            <w:tcW w:w="810" w:type="dxa"/>
          </w:tcPr>
          <w:p w:rsidR="00A6084A" w:rsidRPr="00510AEA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510AEA">
              <w:rPr>
                <w:rFonts w:ascii="Traditional Arabic" w:hAnsi="Traditional Arabic" w:cs="Traditional Arabic"/>
                <w:b/>
                <w:bCs/>
                <w:lang w:bidi="ar-EG"/>
              </w:rPr>
              <w:t>3</w:t>
            </w:r>
          </w:p>
        </w:tc>
        <w:tc>
          <w:tcPr>
            <w:tcW w:w="990" w:type="dxa"/>
          </w:tcPr>
          <w:p w:rsidR="00A6084A" w:rsidRPr="00510AEA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510AEA">
              <w:rPr>
                <w:rFonts w:ascii="Traditional Arabic" w:hAnsi="Traditional Arabic" w:cs="Traditional Arabic"/>
                <w:b/>
                <w:bCs/>
                <w:lang w:bidi="ar-EG"/>
              </w:rPr>
              <w:t>BC-217</w:t>
            </w:r>
          </w:p>
        </w:tc>
        <w:tc>
          <w:tcPr>
            <w:tcW w:w="1980" w:type="dxa"/>
          </w:tcPr>
          <w:p w:rsidR="00A6084A" w:rsidRPr="00510AEA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510AEA">
              <w:rPr>
                <w:rFonts w:ascii="Traditional Arabic" w:hAnsi="Traditional Arabic" w:cs="Traditional Arabic"/>
                <w:b/>
                <w:bCs/>
                <w:lang w:bidi="ar-EG"/>
              </w:rPr>
              <w:t>Nutrition for Liver Diseases</w:t>
            </w:r>
            <w:r w:rsidRPr="00510AEA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 </w:t>
            </w:r>
          </w:p>
          <w:p w:rsidR="00A6084A" w:rsidRPr="00510AEA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510AEA">
              <w:rPr>
                <w:rFonts w:ascii="Traditional Arabic" w:hAnsi="Traditional Arabic" w:cs="Traditional Arabic" w:hint="cs"/>
                <w:b/>
                <w:bCs/>
                <w:rtl/>
                <w:lang w:bidi="ar-EG"/>
              </w:rPr>
              <w:t>ال</w:t>
            </w:r>
            <w:r w:rsidRPr="00510AEA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تغذية </w:t>
            </w:r>
            <w:r w:rsidRPr="00510AEA">
              <w:rPr>
                <w:rFonts w:ascii="Traditional Arabic" w:hAnsi="Traditional Arabic" w:cs="Traditional Arabic" w:hint="cs"/>
                <w:b/>
                <w:bCs/>
                <w:rtl/>
                <w:lang w:bidi="ar-EG"/>
              </w:rPr>
              <w:t>ل</w:t>
            </w:r>
            <w:r w:rsidRPr="00510AEA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أمراض الكبد</w:t>
            </w:r>
          </w:p>
        </w:tc>
      </w:tr>
      <w:tr w:rsidR="00A6084A" w:rsidRPr="00510AEA" w:rsidTr="00B05EB2">
        <w:tc>
          <w:tcPr>
            <w:tcW w:w="900" w:type="dxa"/>
          </w:tcPr>
          <w:p w:rsidR="00A6084A" w:rsidRPr="00510AEA" w:rsidRDefault="00A6084A" w:rsidP="0092585D">
            <w:pPr>
              <w:spacing w:after="0" w:line="192" w:lineRule="auto"/>
              <w:jc w:val="center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 w:rsidRPr="00510AEA">
              <w:rPr>
                <w:rFonts w:ascii="Traditional Arabic" w:hAnsi="Traditional Arabic" w:cs="Traditional Arabic"/>
                <w:b/>
                <w:bCs/>
                <w:lang w:bidi="ar-EG"/>
              </w:rPr>
              <w:t>2</w:t>
            </w:r>
          </w:p>
        </w:tc>
        <w:tc>
          <w:tcPr>
            <w:tcW w:w="810" w:type="dxa"/>
          </w:tcPr>
          <w:p w:rsidR="00A6084A" w:rsidRPr="00510AEA" w:rsidRDefault="00A6084A" w:rsidP="0092585D">
            <w:pPr>
              <w:spacing w:after="0" w:line="192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510AEA">
              <w:rPr>
                <w:rFonts w:ascii="Traditional Arabic" w:hAnsi="Traditional Arabic" w:cs="Traditional Arabic"/>
                <w:b/>
                <w:bCs/>
                <w:lang w:bidi="ar-EG"/>
              </w:rPr>
              <w:t>100</w:t>
            </w:r>
          </w:p>
        </w:tc>
        <w:tc>
          <w:tcPr>
            <w:tcW w:w="630" w:type="dxa"/>
          </w:tcPr>
          <w:p w:rsidR="00A6084A" w:rsidRPr="00510AEA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510AEA">
              <w:rPr>
                <w:rFonts w:ascii="Traditional Arabic" w:hAnsi="Traditional Arabic" w:cs="Traditional Arabic"/>
                <w:b/>
                <w:bCs/>
                <w:lang w:bidi="ar-EG"/>
              </w:rPr>
              <w:t>15</w:t>
            </w:r>
          </w:p>
        </w:tc>
        <w:tc>
          <w:tcPr>
            <w:tcW w:w="630" w:type="dxa"/>
          </w:tcPr>
          <w:p w:rsidR="00A6084A" w:rsidRPr="00510AEA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510AEA">
              <w:rPr>
                <w:rFonts w:ascii="Traditional Arabic" w:hAnsi="Traditional Arabic" w:cs="Traditional Arabic"/>
                <w:b/>
                <w:bCs/>
                <w:lang w:bidi="ar-EG"/>
              </w:rPr>
              <w:t>25</w:t>
            </w:r>
          </w:p>
        </w:tc>
        <w:tc>
          <w:tcPr>
            <w:tcW w:w="990" w:type="dxa"/>
          </w:tcPr>
          <w:p w:rsidR="00A6084A" w:rsidRPr="00510AEA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510AEA">
              <w:rPr>
                <w:rFonts w:ascii="Traditional Arabic" w:hAnsi="Traditional Arabic" w:cs="Traditional Arabic"/>
                <w:b/>
                <w:bCs/>
                <w:lang w:bidi="ar-EG"/>
              </w:rPr>
              <w:t>60</w:t>
            </w:r>
          </w:p>
        </w:tc>
        <w:tc>
          <w:tcPr>
            <w:tcW w:w="810" w:type="dxa"/>
          </w:tcPr>
          <w:p w:rsidR="00A6084A" w:rsidRPr="00510AEA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510AEA">
              <w:rPr>
                <w:rFonts w:ascii="Traditional Arabic" w:hAnsi="Traditional Arabic" w:cs="Traditional Arabic"/>
                <w:b/>
                <w:bCs/>
                <w:lang w:bidi="ar-EG"/>
              </w:rPr>
              <w:t>2+</w:t>
            </w:r>
            <w:r>
              <w:rPr>
                <w:rFonts w:ascii="Traditional Arabic" w:hAnsi="Traditional Arabic" w:cs="Traditional Arabic"/>
                <w:b/>
                <w:bCs/>
                <w:lang w:bidi="ar-EG"/>
              </w:rPr>
              <w:t>1</w:t>
            </w:r>
          </w:p>
        </w:tc>
        <w:tc>
          <w:tcPr>
            <w:tcW w:w="810" w:type="dxa"/>
          </w:tcPr>
          <w:p w:rsidR="00A6084A" w:rsidRPr="00510AEA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510AEA">
              <w:rPr>
                <w:rFonts w:ascii="Traditional Arabic" w:hAnsi="Traditional Arabic" w:cs="Traditional Arabic"/>
                <w:b/>
                <w:bCs/>
                <w:lang w:bidi="ar-EG"/>
              </w:rPr>
              <w:t>3</w:t>
            </w:r>
          </w:p>
        </w:tc>
        <w:tc>
          <w:tcPr>
            <w:tcW w:w="990" w:type="dxa"/>
          </w:tcPr>
          <w:p w:rsidR="00A6084A" w:rsidRPr="00510AEA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510AEA">
              <w:rPr>
                <w:rFonts w:ascii="Traditional Arabic" w:hAnsi="Traditional Arabic" w:cs="Traditional Arabic"/>
                <w:b/>
                <w:bCs/>
                <w:lang w:bidi="ar-EG"/>
              </w:rPr>
              <w:t>BC-218</w:t>
            </w:r>
          </w:p>
        </w:tc>
        <w:tc>
          <w:tcPr>
            <w:tcW w:w="1980" w:type="dxa"/>
          </w:tcPr>
          <w:p w:rsidR="00A6084A" w:rsidRPr="00510AEA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510AEA">
              <w:rPr>
                <w:rFonts w:ascii="Traditional Arabic" w:hAnsi="Traditional Arabic" w:cs="Traditional Arabic"/>
                <w:b/>
                <w:bCs/>
                <w:lang w:bidi="ar-EG"/>
              </w:rPr>
              <w:t>Nutrition for Renal Diseases</w:t>
            </w:r>
            <w:r w:rsidRPr="00510AEA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 </w:t>
            </w:r>
          </w:p>
          <w:p w:rsidR="00A6084A" w:rsidRPr="00510AEA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510AEA">
              <w:rPr>
                <w:rFonts w:ascii="Traditional Arabic" w:hAnsi="Traditional Arabic" w:cs="Traditional Arabic" w:hint="cs"/>
                <w:b/>
                <w:bCs/>
                <w:rtl/>
                <w:lang w:bidi="ar-EG"/>
              </w:rPr>
              <w:t>ال</w:t>
            </w:r>
            <w:r w:rsidRPr="00510AEA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تغذية </w:t>
            </w:r>
            <w:r w:rsidRPr="00510AEA">
              <w:rPr>
                <w:rFonts w:ascii="Traditional Arabic" w:hAnsi="Traditional Arabic" w:cs="Traditional Arabic" w:hint="cs"/>
                <w:b/>
                <w:bCs/>
                <w:rtl/>
                <w:lang w:bidi="ar-EG"/>
              </w:rPr>
              <w:t>ل</w:t>
            </w:r>
            <w:r w:rsidRPr="00510AEA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أمراض الكلى</w:t>
            </w:r>
          </w:p>
        </w:tc>
      </w:tr>
      <w:tr w:rsidR="00A6084A" w:rsidRPr="00510AEA" w:rsidTr="00B05EB2">
        <w:tc>
          <w:tcPr>
            <w:tcW w:w="900" w:type="dxa"/>
          </w:tcPr>
          <w:p w:rsidR="00A6084A" w:rsidRPr="00510AEA" w:rsidRDefault="00A6084A" w:rsidP="0092585D">
            <w:pPr>
              <w:spacing w:after="0" w:line="192" w:lineRule="auto"/>
              <w:jc w:val="center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 w:rsidRPr="00510AEA">
              <w:rPr>
                <w:rFonts w:ascii="Traditional Arabic" w:hAnsi="Traditional Arabic" w:cs="Traditional Arabic"/>
                <w:b/>
                <w:bCs/>
                <w:lang w:bidi="ar-EG"/>
              </w:rPr>
              <w:t>2</w:t>
            </w:r>
          </w:p>
        </w:tc>
        <w:tc>
          <w:tcPr>
            <w:tcW w:w="810" w:type="dxa"/>
          </w:tcPr>
          <w:p w:rsidR="00A6084A" w:rsidRPr="00510AEA" w:rsidRDefault="00A6084A" w:rsidP="0092585D">
            <w:pPr>
              <w:spacing w:after="0" w:line="192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510AEA">
              <w:rPr>
                <w:rFonts w:ascii="Traditional Arabic" w:hAnsi="Traditional Arabic" w:cs="Traditional Arabic"/>
                <w:b/>
                <w:bCs/>
                <w:lang w:bidi="ar-EG"/>
              </w:rPr>
              <w:t>100</w:t>
            </w:r>
          </w:p>
        </w:tc>
        <w:tc>
          <w:tcPr>
            <w:tcW w:w="630" w:type="dxa"/>
          </w:tcPr>
          <w:p w:rsidR="00A6084A" w:rsidRPr="00510AEA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510AEA">
              <w:rPr>
                <w:rFonts w:ascii="Traditional Arabic" w:hAnsi="Traditional Arabic" w:cs="Traditional Arabic"/>
                <w:b/>
                <w:bCs/>
                <w:lang w:bidi="ar-EG"/>
              </w:rPr>
              <w:t>15</w:t>
            </w:r>
          </w:p>
        </w:tc>
        <w:tc>
          <w:tcPr>
            <w:tcW w:w="630" w:type="dxa"/>
          </w:tcPr>
          <w:p w:rsidR="00A6084A" w:rsidRPr="00510AEA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510AEA">
              <w:rPr>
                <w:rFonts w:ascii="Traditional Arabic" w:hAnsi="Traditional Arabic" w:cs="Traditional Arabic"/>
                <w:b/>
                <w:bCs/>
                <w:lang w:bidi="ar-EG"/>
              </w:rPr>
              <w:t>25</w:t>
            </w:r>
          </w:p>
        </w:tc>
        <w:tc>
          <w:tcPr>
            <w:tcW w:w="990" w:type="dxa"/>
          </w:tcPr>
          <w:p w:rsidR="00A6084A" w:rsidRPr="00510AEA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510AEA">
              <w:rPr>
                <w:rFonts w:ascii="Traditional Arabic" w:hAnsi="Traditional Arabic" w:cs="Traditional Arabic"/>
                <w:b/>
                <w:bCs/>
                <w:lang w:bidi="ar-EG"/>
              </w:rPr>
              <w:t>60</w:t>
            </w:r>
          </w:p>
        </w:tc>
        <w:tc>
          <w:tcPr>
            <w:tcW w:w="810" w:type="dxa"/>
          </w:tcPr>
          <w:p w:rsidR="00A6084A" w:rsidRPr="00510AEA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 w:rsidRPr="00510AEA">
              <w:rPr>
                <w:rFonts w:ascii="Traditional Arabic" w:hAnsi="Traditional Arabic" w:cs="Traditional Arabic"/>
                <w:b/>
                <w:bCs/>
                <w:lang w:bidi="ar-EG"/>
              </w:rPr>
              <w:t>2+</w:t>
            </w:r>
            <w:r>
              <w:rPr>
                <w:rFonts w:ascii="Traditional Arabic" w:hAnsi="Traditional Arabic" w:cs="Traditional Arabic"/>
                <w:b/>
                <w:bCs/>
                <w:lang w:bidi="ar-EG"/>
              </w:rPr>
              <w:t>1</w:t>
            </w:r>
          </w:p>
        </w:tc>
        <w:tc>
          <w:tcPr>
            <w:tcW w:w="810" w:type="dxa"/>
          </w:tcPr>
          <w:p w:rsidR="00A6084A" w:rsidRPr="00510AEA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510AEA">
              <w:rPr>
                <w:rFonts w:ascii="Traditional Arabic" w:hAnsi="Traditional Arabic" w:cs="Traditional Arabic"/>
                <w:b/>
                <w:bCs/>
                <w:lang w:bidi="ar-EG"/>
              </w:rPr>
              <w:t>3</w:t>
            </w:r>
          </w:p>
        </w:tc>
        <w:tc>
          <w:tcPr>
            <w:tcW w:w="990" w:type="dxa"/>
          </w:tcPr>
          <w:p w:rsidR="00A6084A" w:rsidRPr="00510AEA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510AEA">
              <w:rPr>
                <w:rFonts w:ascii="Traditional Arabic" w:hAnsi="Traditional Arabic" w:cs="Traditional Arabic"/>
                <w:b/>
                <w:bCs/>
                <w:lang w:bidi="ar-EG"/>
              </w:rPr>
              <w:t>BC-219</w:t>
            </w:r>
          </w:p>
        </w:tc>
        <w:tc>
          <w:tcPr>
            <w:tcW w:w="1980" w:type="dxa"/>
          </w:tcPr>
          <w:p w:rsidR="00A6084A" w:rsidRPr="001E3E6D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EG"/>
              </w:rPr>
            </w:pPr>
            <w:r w:rsidRPr="001E3E6D">
              <w:rPr>
                <w:rFonts w:ascii="Traditional Arabic" w:hAnsi="Traditional Arabic" w:cs="Traditional Arabic"/>
                <w:b/>
                <w:bCs/>
                <w:sz w:val="20"/>
                <w:szCs w:val="20"/>
                <w:lang w:bidi="ar-EG"/>
              </w:rPr>
              <w:t>Nutrition for Cardiovascular and Metabolic Diseases</w:t>
            </w:r>
            <w:r w:rsidRPr="001E3E6D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:rsidR="00A6084A" w:rsidRPr="00510AEA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1E3E6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EG"/>
              </w:rPr>
              <w:t>ال</w:t>
            </w:r>
            <w:r w:rsidRPr="001E3E6D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EG"/>
              </w:rPr>
              <w:t xml:space="preserve">تغذية </w:t>
            </w:r>
            <w:r w:rsidRPr="001E3E6D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EG"/>
              </w:rPr>
              <w:t>ل</w:t>
            </w:r>
            <w:r w:rsidRPr="001E3E6D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EG"/>
              </w:rPr>
              <w:t>أمراض القلب والأوعية الدموية والتمثيل الغذائي</w:t>
            </w:r>
          </w:p>
        </w:tc>
      </w:tr>
      <w:tr w:rsidR="00A6084A" w:rsidRPr="00510AEA" w:rsidTr="00B05EB2">
        <w:tc>
          <w:tcPr>
            <w:tcW w:w="900" w:type="dxa"/>
          </w:tcPr>
          <w:p w:rsidR="00A6084A" w:rsidRPr="00510AEA" w:rsidRDefault="00A6084A" w:rsidP="0092585D">
            <w:pPr>
              <w:spacing w:after="0" w:line="192" w:lineRule="auto"/>
              <w:jc w:val="center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lang w:bidi="ar-EG"/>
              </w:rPr>
              <w:t>2</w:t>
            </w:r>
          </w:p>
        </w:tc>
        <w:tc>
          <w:tcPr>
            <w:tcW w:w="810" w:type="dxa"/>
          </w:tcPr>
          <w:p w:rsidR="00A6084A" w:rsidRPr="00510AEA" w:rsidRDefault="00A6084A" w:rsidP="0092585D">
            <w:pPr>
              <w:spacing w:after="0" w:line="192" w:lineRule="auto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510AEA">
              <w:rPr>
                <w:rFonts w:ascii="Traditional Arabic" w:hAnsi="Traditional Arabic" w:cs="Traditional Arabic"/>
                <w:b/>
                <w:bCs/>
                <w:lang w:bidi="ar-EG"/>
              </w:rPr>
              <w:t>100</w:t>
            </w:r>
          </w:p>
        </w:tc>
        <w:tc>
          <w:tcPr>
            <w:tcW w:w="630" w:type="dxa"/>
          </w:tcPr>
          <w:p w:rsidR="00A6084A" w:rsidRPr="00510AEA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510AEA">
              <w:rPr>
                <w:rFonts w:ascii="Traditional Arabic" w:hAnsi="Traditional Arabic" w:cs="Traditional Arabic"/>
                <w:b/>
                <w:bCs/>
                <w:lang w:bidi="ar-EG"/>
              </w:rPr>
              <w:t>15</w:t>
            </w:r>
          </w:p>
        </w:tc>
        <w:tc>
          <w:tcPr>
            <w:tcW w:w="630" w:type="dxa"/>
          </w:tcPr>
          <w:p w:rsidR="00A6084A" w:rsidRPr="00510AEA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510AEA">
              <w:rPr>
                <w:rFonts w:ascii="Traditional Arabic" w:hAnsi="Traditional Arabic" w:cs="Traditional Arabic"/>
                <w:b/>
                <w:bCs/>
                <w:lang w:bidi="ar-EG"/>
              </w:rPr>
              <w:t>25</w:t>
            </w:r>
          </w:p>
        </w:tc>
        <w:tc>
          <w:tcPr>
            <w:tcW w:w="990" w:type="dxa"/>
          </w:tcPr>
          <w:p w:rsidR="00A6084A" w:rsidRPr="00510AEA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510AEA">
              <w:rPr>
                <w:rFonts w:ascii="Traditional Arabic" w:hAnsi="Traditional Arabic" w:cs="Traditional Arabic"/>
                <w:b/>
                <w:bCs/>
                <w:lang w:bidi="ar-EG"/>
              </w:rPr>
              <w:t>60</w:t>
            </w:r>
          </w:p>
        </w:tc>
        <w:tc>
          <w:tcPr>
            <w:tcW w:w="810" w:type="dxa"/>
          </w:tcPr>
          <w:p w:rsidR="00A6084A" w:rsidRPr="00510AEA" w:rsidRDefault="00A6084A" w:rsidP="0092585D">
            <w:pPr>
              <w:pStyle w:val="ListParagraph"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>
              <w:rPr>
                <w:rFonts w:cs="Traditional Arabic"/>
                <w:b/>
                <w:bCs/>
                <w:lang w:bidi="ar-EG"/>
              </w:rPr>
              <w:t>2</w:t>
            </w:r>
            <w:r w:rsidRPr="00510AEA">
              <w:rPr>
                <w:rFonts w:ascii="Traditional Arabic" w:hAnsi="Traditional Arabic" w:cs="Traditional Arabic"/>
                <w:b/>
                <w:bCs/>
                <w:lang w:bidi="ar-EG"/>
              </w:rPr>
              <w:t>+</w:t>
            </w:r>
            <w:r>
              <w:rPr>
                <w:rFonts w:ascii="Traditional Arabic" w:hAnsi="Traditional Arabic" w:cs="Traditional Arabic"/>
                <w:b/>
                <w:bCs/>
                <w:lang w:bidi="ar-EG"/>
              </w:rPr>
              <w:t>1</w:t>
            </w:r>
          </w:p>
        </w:tc>
        <w:tc>
          <w:tcPr>
            <w:tcW w:w="810" w:type="dxa"/>
          </w:tcPr>
          <w:p w:rsidR="00A6084A" w:rsidRPr="00510AEA" w:rsidRDefault="008346FC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510AEA">
              <w:rPr>
                <w:rFonts w:ascii="Traditional Arabic" w:hAnsi="Traditional Arabic" w:cs="Traditional Arabic"/>
                <w:b/>
                <w:bCs/>
                <w:lang w:bidi="ar-EG"/>
              </w:rPr>
              <w:t>3</w:t>
            </w:r>
          </w:p>
        </w:tc>
        <w:tc>
          <w:tcPr>
            <w:tcW w:w="990" w:type="dxa"/>
          </w:tcPr>
          <w:p w:rsidR="00A6084A" w:rsidRPr="00510AEA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510AEA">
              <w:rPr>
                <w:rFonts w:ascii="Traditional Arabic" w:hAnsi="Traditional Arabic" w:cs="Traditional Arabic"/>
                <w:b/>
                <w:bCs/>
                <w:lang w:bidi="ar-EG"/>
              </w:rPr>
              <w:t>BC-220</w:t>
            </w:r>
          </w:p>
        </w:tc>
        <w:tc>
          <w:tcPr>
            <w:tcW w:w="1980" w:type="dxa"/>
          </w:tcPr>
          <w:p w:rsidR="00A6084A" w:rsidRPr="00510AEA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 w:rsidRPr="00510AEA">
              <w:rPr>
                <w:rFonts w:ascii="Traditional Arabic" w:hAnsi="Traditional Arabic" w:cs="Traditional Arabic"/>
                <w:b/>
                <w:bCs/>
                <w:lang w:bidi="ar-EG"/>
              </w:rPr>
              <w:t>Nutrition for Cancer Patients</w:t>
            </w:r>
            <w:r w:rsidRPr="00510AEA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 xml:space="preserve"> </w:t>
            </w:r>
          </w:p>
          <w:p w:rsidR="00A6084A" w:rsidRPr="00510AEA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510AEA">
              <w:rPr>
                <w:rFonts w:ascii="Traditional Arabic" w:hAnsi="Traditional Arabic" w:cs="Traditional Arabic" w:hint="cs"/>
                <w:b/>
                <w:bCs/>
                <w:rtl/>
                <w:lang w:bidi="ar-EG"/>
              </w:rPr>
              <w:t>التغذية لمرضى السرطان</w:t>
            </w:r>
          </w:p>
        </w:tc>
      </w:tr>
      <w:tr w:rsidR="00A6084A" w:rsidRPr="00510AEA" w:rsidTr="00B05EB2">
        <w:tc>
          <w:tcPr>
            <w:tcW w:w="900" w:type="dxa"/>
          </w:tcPr>
          <w:p w:rsidR="00A6084A" w:rsidRPr="002B3178" w:rsidRDefault="00A6084A" w:rsidP="0092585D">
            <w:pPr>
              <w:spacing w:after="0" w:line="192" w:lineRule="auto"/>
              <w:jc w:val="center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 w:rsidRPr="002B3178">
              <w:rPr>
                <w:rFonts w:ascii="Traditional Arabic" w:hAnsi="Traditional Arabic" w:cs="Traditional Arabic"/>
                <w:b/>
                <w:bCs/>
                <w:lang w:bidi="ar-EG"/>
              </w:rPr>
              <w:t>-</w:t>
            </w:r>
          </w:p>
        </w:tc>
        <w:tc>
          <w:tcPr>
            <w:tcW w:w="810" w:type="dxa"/>
          </w:tcPr>
          <w:p w:rsidR="00A6084A" w:rsidRPr="002B3178" w:rsidRDefault="00A6084A" w:rsidP="0092585D">
            <w:pPr>
              <w:spacing w:after="0" w:line="192" w:lineRule="auto"/>
              <w:jc w:val="center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 w:rsidRPr="002B3178">
              <w:rPr>
                <w:rFonts w:ascii="Traditional Arabic" w:hAnsi="Traditional Arabic" w:cs="Traditional Arabic"/>
                <w:b/>
                <w:bCs/>
                <w:lang w:bidi="ar-EG"/>
              </w:rPr>
              <w:t>100</w:t>
            </w:r>
          </w:p>
        </w:tc>
        <w:tc>
          <w:tcPr>
            <w:tcW w:w="630" w:type="dxa"/>
          </w:tcPr>
          <w:p w:rsidR="00A6084A" w:rsidRPr="002B3178" w:rsidRDefault="00AF3970" w:rsidP="00AF3970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lang w:bidi="ar-EG"/>
              </w:rPr>
              <w:t>50</w:t>
            </w:r>
          </w:p>
        </w:tc>
        <w:tc>
          <w:tcPr>
            <w:tcW w:w="630" w:type="dxa"/>
          </w:tcPr>
          <w:p w:rsidR="00A6084A" w:rsidRPr="002B3178" w:rsidRDefault="00AF3970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lang w:bidi="ar-EG"/>
              </w:rPr>
              <w:t>50</w:t>
            </w:r>
          </w:p>
        </w:tc>
        <w:tc>
          <w:tcPr>
            <w:tcW w:w="990" w:type="dxa"/>
          </w:tcPr>
          <w:p w:rsidR="00A6084A" w:rsidRPr="002B3178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 w:rsidRPr="002B3178"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  <w:t>-</w:t>
            </w:r>
          </w:p>
        </w:tc>
        <w:tc>
          <w:tcPr>
            <w:tcW w:w="810" w:type="dxa"/>
          </w:tcPr>
          <w:p w:rsidR="00A6084A" w:rsidRPr="002B3178" w:rsidRDefault="00A6084A" w:rsidP="00AF3970">
            <w:pPr>
              <w:pStyle w:val="ListParagraph"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 w:rsidRPr="002B3178">
              <w:rPr>
                <w:rFonts w:ascii="Traditional Arabic" w:hAnsi="Traditional Arabic" w:cs="Traditional Arabic"/>
                <w:b/>
                <w:bCs/>
                <w:lang w:bidi="ar-EG"/>
              </w:rPr>
              <w:t>0+</w:t>
            </w:r>
            <w:r w:rsidR="00AF3970">
              <w:rPr>
                <w:rFonts w:ascii="Traditional Arabic" w:hAnsi="Traditional Arabic" w:cs="Traditional Arabic"/>
                <w:b/>
                <w:bCs/>
                <w:lang w:bidi="ar-EG"/>
              </w:rPr>
              <w:t>2</w:t>
            </w:r>
          </w:p>
        </w:tc>
        <w:tc>
          <w:tcPr>
            <w:tcW w:w="810" w:type="dxa"/>
          </w:tcPr>
          <w:p w:rsidR="00A6084A" w:rsidRPr="002B3178" w:rsidRDefault="00A6084A" w:rsidP="0092585D">
            <w:pPr>
              <w:pStyle w:val="ListParagraph"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lang w:bidi="ar-EG"/>
              </w:rPr>
              <w:t>2</w:t>
            </w:r>
          </w:p>
        </w:tc>
        <w:tc>
          <w:tcPr>
            <w:tcW w:w="990" w:type="dxa"/>
          </w:tcPr>
          <w:p w:rsidR="00A6084A" w:rsidRPr="002B3178" w:rsidRDefault="00A6084A" w:rsidP="0092585D">
            <w:pPr>
              <w:pStyle w:val="ListParagraph"/>
              <w:bidi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lang w:bidi="ar-EG"/>
              </w:rPr>
            </w:pPr>
            <w:r w:rsidRPr="002B3178">
              <w:rPr>
                <w:rFonts w:ascii="Traditional Arabic" w:hAnsi="Traditional Arabic" w:cs="Traditional Arabic"/>
                <w:b/>
                <w:bCs/>
                <w:lang w:bidi="ar-EG"/>
              </w:rPr>
              <w:t>BC-221</w:t>
            </w:r>
          </w:p>
        </w:tc>
        <w:tc>
          <w:tcPr>
            <w:tcW w:w="1980" w:type="dxa"/>
          </w:tcPr>
          <w:p w:rsidR="00A6084A" w:rsidRPr="00B22FF3" w:rsidRDefault="00AF3970" w:rsidP="001C0111">
            <w:pPr>
              <w:pStyle w:val="ListParagraph"/>
              <w:spacing w:after="0" w:line="192" w:lineRule="auto"/>
              <w:ind w:left="0"/>
              <w:jc w:val="center"/>
              <w:rPr>
                <w:rFonts w:cs="Traditional Arabic"/>
                <w:b/>
                <w:bCs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lang w:bidi="ar-EG"/>
              </w:rPr>
              <w:t>Research Project</w:t>
            </w:r>
            <w:r w:rsidR="00B22FF3">
              <w:rPr>
                <w:rFonts w:cs="Traditional Arabic"/>
                <w:b/>
                <w:bCs/>
                <w:lang w:bidi="ar-EG"/>
              </w:rPr>
              <w:t xml:space="preserve"> </w:t>
            </w:r>
          </w:p>
          <w:p w:rsidR="00A6084A" w:rsidRPr="002B3178" w:rsidRDefault="00AF3970" w:rsidP="001C0111">
            <w:pPr>
              <w:pStyle w:val="ListParagraph"/>
              <w:spacing w:after="0" w:line="192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EG"/>
              </w:rPr>
              <w:t>مشروع بحثى</w:t>
            </w:r>
            <w:r w:rsidR="00B22FF3">
              <w:rPr>
                <w:rFonts w:ascii="Traditional Arabic" w:hAnsi="Traditional Arabic" w:cs="Traditional Arabic"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A6084A" w:rsidRPr="00510AEA" w:rsidTr="00B05EB2">
        <w:tc>
          <w:tcPr>
            <w:tcW w:w="900" w:type="dxa"/>
          </w:tcPr>
          <w:p w:rsidR="00A6084A" w:rsidRPr="00510AEA" w:rsidRDefault="00A6084A" w:rsidP="0092585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</w:p>
        </w:tc>
        <w:tc>
          <w:tcPr>
            <w:tcW w:w="3870" w:type="dxa"/>
            <w:gridSpan w:val="5"/>
          </w:tcPr>
          <w:p w:rsidR="00A6084A" w:rsidRPr="00510AEA" w:rsidRDefault="00A6084A" w:rsidP="0092585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</w:p>
        </w:tc>
        <w:tc>
          <w:tcPr>
            <w:tcW w:w="810" w:type="dxa"/>
          </w:tcPr>
          <w:p w:rsidR="00A6084A" w:rsidRPr="00510AEA" w:rsidRDefault="00A6084A" w:rsidP="0092585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lang w:bidi="ar-EG"/>
              </w:rPr>
              <w:t>17</w:t>
            </w:r>
          </w:p>
        </w:tc>
        <w:tc>
          <w:tcPr>
            <w:tcW w:w="2970" w:type="dxa"/>
            <w:gridSpan w:val="2"/>
          </w:tcPr>
          <w:p w:rsidR="00A6084A" w:rsidRPr="00510AEA" w:rsidRDefault="00A6084A" w:rsidP="0092585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510AEA">
              <w:rPr>
                <w:rFonts w:ascii="Traditional Arabic" w:hAnsi="Traditional Arabic" w:cs="Traditional Arabic"/>
                <w:b/>
                <w:bCs/>
                <w:lang w:bidi="ar-EG"/>
              </w:rPr>
              <w:t>Total Credit Hours</w:t>
            </w:r>
          </w:p>
        </w:tc>
      </w:tr>
    </w:tbl>
    <w:p w:rsidR="00A6084A" w:rsidRDefault="00A6084A" w:rsidP="00814AB5">
      <w:pPr>
        <w:pStyle w:val="ListParagraph"/>
        <w:widowControl w:val="0"/>
        <w:tabs>
          <w:tab w:val="left" w:pos="993"/>
          <w:tab w:val="left" w:pos="1084"/>
        </w:tabs>
        <w:autoSpaceDE w:val="0"/>
        <w:autoSpaceDN w:val="0"/>
        <w:adjustRightInd w:val="0"/>
        <w:spacing w:before="240" w:after="120" w:line="240" w:lineRule="auto"/>
        <w:ind w:left="0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u w:val="single"/>
        </w:rPr>
      </w:pPr>
      <w:r w:rsidRPr="00814AB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val="en-GB"/>
        </w:rPr>
        <w:t>Article 21:</w:t>
      </w:r>
      <w:r w:rsidRPr="00814AB5">
        <w:rPr>
          <w:rFonts w:asciiTheme="majorBidi" w:hAnsiTheme="majorBidi" w:cstheme="majorBidi"/>
          <w:b/>
          <w:bCs/>
          <w:color w:val="000000" w:themeColor="text1"/>
          <w:sz w:val="26"/>
          <w:szCs w:val="26"/>
          <w:u w:val="single"/>
          <w:lang w:val="en-GB"/>
        </w:rPr>
        <w:t xml:space="preserve">  </w:t>
      </w:r>
      <w:r w:rsidR="00814AB5" w:rsidRPr="00814AB5">
        <w:rPr>
          <w:rFonts w:asciiTheme="majorBidi" w:hAnsiTheme="majorBidi" w:cstheme="majorBidi"/>
          <w:b/>
          <w:bCs/>
          <w:color w:val="000000" w:themeColor="text1"/>
          <w:sz w:val="26"/>
          <w:szCs w:val="26"/>
          <w:u w:val="single"/>
          <w:lang w:val="en-GB"/>
        </w:rPr>
        <w:t>Courses` Description</w:t>
      </w:r>
    </w:p>
    <w:p w:rsidR="008346FC" w:rsidRPr="008346FC" w:rsidRDefault="008346FC" w:rsidP="00814AB5">
      <w:pPr>
        <w:pStyle w:val="ListParagraph"/>
        <w:widowControl w:val="0"/>
        <w:tabs>
          <w:tab w:val="left" w:pos="993"/>
          <w:tab w:val="left" w:pos="1084"/>
        </w:tabs>
        <w:autoSpaceDE w:val="0"/>
        <w:autoSpaceDN w:val="0"/>
        <w:adjustRightInd w:val="0"/>
        <w:spacing w:before="240" w:after="120" w:line="240" w:lineRule="auto"/>
        <w:ind w:left="0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tbl>
      <w:tblPr>
        <w:tblStyle w:val="TableGrid"/>
        <w:bidiVisual/>
        <w:tblW w:w="8774" w:type="dxa"/>
        <w:tblLook w:val="04A0" w:firstRow="1" w:lastRow="0" w:firstColumn="1" w:lastColumn="0" w:noHBand="0" w:noVBand="1"/>
      </w:tblPr>
      <w:tblGrid>
        <w:gridCol w:w="5441"/>
        <w:gridCol w:w="3333"/>
      </w:tblGrid>
      <w:tr w:rsidR="00A6084A" w:rsidRPr="003A35CE" w:rsidTr="00B05EB2">
        <w:tc>
          <w:tcPr>
            <w:tcW w:w="5441" w:type="dxa"/>
            <w:shd w:val="clear" w:color="auto" w:fill="EDEDED" w:themeFill="accent3" w:themeFillTint="33"/>
          </w:tcPr>
          <w:p w:rsidR="00A6084A" w:rsidRPr="00C65966" w:rsidRDefault="00A6084A" w:rsidP="0092585D">
            <w:pPr>
              <w:tabs>
                <w:tab w:val="right" w:pos="4230"/>
              </w:tabs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C659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Course Content</w:t>
            </w:r>
          </w:p>
        </w:tc>
        <w:tc>
          <w:tcPr>
            <w:tcW w:w="3333" w:type="dxa"/>
            <w:shd w:val="clear" w:color="auto" w:fill="EDEDED" w:themeFill="accent3" w:themeFillTint="33"/>
          </w:tcPr>
          <w:p w:rsidR="00A6084A" w:rsidRPr="00C65966" w:rsidRDefault="00A6084A" w:rsidP="0092585D">
            <w:pPr>
              <w:tabs>
                <w:tab w:val="right" w:pos="4230"/>
              </w:tabs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C6596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Course Title and Code </w:t>
            </w:r>
          </w:p>
        </w:tc>
      </w:tr>
      <w:tr w:rsidR="00A6084A" w:rsidRPr="003A35CE" w:rsidTr="00B05EB2">
        <w:tc>
          <w:tcPr>
            <w:tcW w:w="5441" w:type="dxa"/>
          </w:tcPr>
          <w:p w:rsidR="00A6084A" w:rsidRPr="00C65966" w:rsidRDefault="00A6084A" w:rsidP="0092585D">
            <w:pPr>
              <w:tabs>
                <w:tab w:val="right" w:pos="4230"/>
              </w:tabs>
              <w:spacing w:before="120"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C6596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Digestion and metabolism of dietary components- Vitamins, minerals and trace elements - Energy production and requirement - Food groups and planning of balanced diets - Antioxidants - Dietary fibers  </w:t>
            </w:r>
          </w:p>
        </w:tc>
        <w:tc>
          <w:tcPr>
            <w:tcW w:w="3333" w:type="dxa"/>
          </w:tcPr>
          <w:p w:rsidR="00A6084A" w:rsidRPr="00C65966" w:rsidRDefault="00A6084A" w:rsidP="0092585D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6596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Nutrition Basics</w:t>
            </w:r>
          </w:p>
          <w:p w:rsidR="00A6084A" w:rsidRPr="00C65966" w:rsidRDefault="00A6084A" w:rsidP="008346FC">
            <w:pPr>
              <w:tabs>
                <w:tab w:val="right" w:pos="423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C6596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BC-11</w:t>
            </w:r>
            <w:r w:rsidR="008346FC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0</w:t>
            </w:r>
          </w:p>
          <w:p w:rsidR="00A6084A" w:rsidRPr="00C65966" w:rsidRDefault="00A6084A" w:rsidP="0092585D">
            <w:pPr>
              <w:tabs>
                <w:tab w:val="right" w:pos="4230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A6084A" w:rsidRPr="003A35CE" w:rsidTr="00B05EB2">
        <w:tc>
          <w:tcPr>
            <w:tcW w:w="5441" w:type="dxa"/>
          </w:tcPr>
          <w:p w:rsidR="00A6084A" w:rsidRPr="00C65966" w:rsidRDefault="00A6084A" w:rsidP="0092585D">
            <w:pPr>
              <w:tabs>
                <w:tab w:val="right" w:pos="4230"/>
              </w:tabs>
              <w:spacing w:before="120"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C6596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Body mass index - Obesity and </w:t>
            </w:r>
            <w:proofErr w:type="spellStart"/>
            <w:r w:rsidRPr="00C6596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overnutrition</w:t>
            </w:r>
            <w:proofErr w:type="spellEnd"/>
            <w:r w:rsidRPr="00C6596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- Metabolic complications of obesity - Pharmacological management of obesity – Disease-related malnutrition - </w:t>
            </w:r>
            <w:proofErr w:type="spellStart"/>
            <w:r w:rsidRPr="00C6596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Anemias</w:t>
            </w:r>
            <w:proofErr w:type="spellEnd"/>
            <w:r w:rsidRPr="00C6596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- Life style modification</w:t>
            </w:r>
          </w:p>
        </w:tc>
        <w:tc>
          <w:tcPr>
            <w:tcW w:w="3333" w:type="dxa"/>
          </w:tcPr>
          <w:p w:rsidR="00A6084A" w:rsidRPr="00C65966" w:rsidRDefault="00A6084A" w:rsidP="0092585D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6596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Obesity and Malnutrition</w:t>
            </w:r>
          </w:p>
          <w:p w:rsidR="00A6084A" w:rsidRPr="00C65966" w:rsidRDefault="00A6084A" w:rsidP="0092585D">
            <w:pPr>
              <w:tabs>
                <w:tab w:val="right" w:pos="423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C6596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BC-111</w:t>
            </w:r>
          </w:p>
          <w:p w:rsidR="00A6084A" w:rsidRPr="00C65966" w:rsidRDefault="00A6084A" w:rsidP="0092585D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A6084A" w:rsidRPr="003A35CE" w:rsidTr="00B05EB2">
        <w:tc>
          <w:tcPr>
            <w:tcW w:w="5441" w:type="dxa"/>
          </w:tcPr>
          <w:p w:rsidR="00A6084A" w:rsidRPr="00C65966" w:rsidRDefault="00A6084A" w:rsidP="0092585D">
            <w:pPr>
              <w:tabs>
                <w:tab w:val="right" w:pos="4230"/>
              </w:tabs>
              <w:spacing w:before="120"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  <w:lang w:bidi="ar-EG"/>
              </w:rPr>
            </w:pPr>
            <w:r w:rsidRPr="00C6596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Peripheral and central parenteral nutrition - Stability and compatibility of parenteral nutrition admixtures - AIO admixtures - Enteral nutrition and complications  </w:t>
            </w:r>
          </w:p>
        </w:tc>
        <w:tc>
          <w:tcPr>
            <w:tcW w:w="3333" w:type="dxa"/>
          </w:tcPr>
          <w:p w:rsidR="00A6084A" w:rsidRPr="00C65966" w:rsidRDefault="00A6084A" w:rsidP="0092585D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6596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Parenteral and Enteral Nutrition</w:t>
            </w:r>
          </w:p>
          <w:p w:rsidR="00A6084A" w:rsidRPr="00C65966" w:rsidRDefault="00A6084A" w:rsidP="0092585D">
            <w:pPr>
              <w:tabs>
                <w:tab w:val="right" w:pos="423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6596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BC-112</w:t>
            </w:r>
          </w:p>
        </w:tc>
      </w:tr>
      <w:tr w:rsidR="00A6084A" w:rsidRPr="003A35CE" w:rsidTr="00B05EB2">
        <w:tc>
          <w:tcPr>
            <w:tcW w:w="5441" w:type="dxa"/>
          </w:tcPr>
          <w:p w:rsidR="00A6084A" w:rsidRPr="00C65966" w:rsidRDefault="00A6084A" w:rsidP="0092585D">
            <w:pPr>
              <w:tabs>
                <w:tab w:val="right" w:pos="4230"/>
              </w:tabs>
              <w:spacing w:before="120"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C65966">
              <w:rPr>
                <w:rFonts w:asciiTheme="majorBidi" w:hAnsiTheme="majorBidi" w:cstheme="majorBidi"/>
                <w:sz w:val="24"/>
                <w:szCs w:val="24"/>
                <w:lang w:bidi="ar-EG"/>
              </w:rPr>
              <w:lastRenderedPageBreak/>
              <w:t>Infant nutrition and mental development - Developing healthy eating habits - Nutritional status of children - Changes in body composition and function in elderly - Drug interactions in elderly - Nutritional support in elderly</w:t>
            </w:r>
            <w:r w:rsidR="00B22FF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– Drug-food interaction</w:t>
            </w:r>
          </w:p>
        </w:tc>
        <w:tc>
          <w:tcPr>
            <w:tcW w:w="3333" w:type="dxa"/>
          </w:tcPr>
          <w:p w:rsidR="00A6084A" w:rsidRPr="00C65966" w:rsidRDefault="00A6084A" w:rsidP="0092585D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6596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Pediatric and Geriatric Nutrition</w:t>
            </w:r>
          </w:p>
          <w:p w:rsidR="00A6084A" w:rsidRPr="00C65966" w:rsidRDefault="00A6084A" w:rsidP="0092585D">
            <w:pPr>
              <w:tabs>
                <w:tab w:val="right" w:pos="423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C6596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BC-113</w:t>
            </w:r>
          </w:p>
          <w:p w:rsidR="00A6084A" w:rsidRPr="00C65966" w:rsidRDefault="00A6084A" w:rsidP="0092585D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A6084A" w:rsidRPr="003A35CE" w:rsidTr="00B05EB2">
        <w:tc>
          <w:tcPr>
            <w:tcW w:w="5441" w:type="dxa"/>
          </w:tcPr>
          <w:p w:rsidR="00A6084A" w:rsidRPr="00C65966" w:rsidRDefault="00A6084A" w:rsidP="0092585D">
            <w:pPr>
              <w:tabs>
                <w:tab w:val="right" w:pos="4230"/>
              </w:tabs>
              <w:spacing w:before="120"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C6596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Mineral and electrolyte needs in sports - Physical exercise and iron metabolism - Drug abuse in athletes - Risk factors for osteoporosis - Prevention and treatment of osteoporosis </w:t>
            </w:r>
          </w:p>
        </w:tc>
        <w:tc>
          <w:tcPr>
            <w:tcW w:w="3333" w:type="dxa"/>
          </w:tcPr>
          <w:p w:rsidR="00A6084A" w:rsidRPr="00C65966" w:rsidRDefault="00A6084A" w:rsidP="0092585D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6596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Sports Nutrition</w:t>
            </w:r>
          </w:p>
          <w:p w:rsidR="00A6084A" w:rsidRPr="00C65966" w:rsidRDefault="00A6084A" w:rsidP="0092585D">
            <w:pPr>
              <w:tabs>
                <w:tab w:val="right" w:pos="423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C6596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BC-114</w:t>
            </w:r>
          </w:p>
          <w:p w:rsidR="00A6084A" w:rsidRPr="00C65966" w:rsidRDefault="00A6084A" w:rsidP="0092585D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A6084A" w:rsidRPr="003A35CE" w:rsidTr="00B05EB2">
        <w:tc>
          <w:tcPr>
            <w:tcW w:w="5441" w:type="dxa"/>
          </w:tcPr>
          <w:p w:rsidR="00A6084A" w:rsidRPr="00C65966" w:rsidRDefault="00A6084A" w:rsidP="0092585D">
            <w:pPr>
              <w:tabs>
                <w:tab w:val="right" w:pos="4230"/>
              </w:tabs>
              <w:spacing w:before="120"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6596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Sources of drug and poison information – Credibility – Primary and secondary sources - Applications</w:t>
            </w:r>
          </w:p>
        </w:tc>
        <w:tc>
          <w:tcPr>
            <w:tcW w:w="3333" w:type="dxa"/>
          </w:tcPr>
          <w:p w:rsidR="00A6084A" w:rsidRPr="00C65966" w:rsidRDefault="00A6084A" w:rsidP="0092585D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6596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Drug and Poison Information</w:t>
            </w:r>
          </w:p>
          <w:p w:rsidR="00A6084A" w:rsidRPr="00C65966" w:rsidRDefault="00A6084A" w:rsidP="0092585D">
            <w:pPr>
              <w:tabs>
                <w:tab w:val="right" w:pos="423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C6596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BC-115</w:t>
            </w:r>
          </w:p>
        </w:tc>
      </w:tr>
      <w:tr w:rsidR="00A6084A" w:rsidRPr="003A35CE" w:rsidTr="00B05EB2">
        <w:tc>
          <w:tcPr>
            <w:tcW w:w="5441" w:type="dxa"/>
          </w:tcPr>
          <w:p w:rsidR="00A6084A" w:rsidRPr="00C65966" w:rsidRDefault="00B22FF3" w:rsidP="00B22FF3">
            <w:pPr>
              <w:tabs>
                <w:tab w:val="right" w:pos="4230"/>
              </w:tabs>
              <w:spacing w:before="120"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Nutritional</w:t>
            </w:r>
            <w:r w:rsidR="00A6084A" w:rsidRPr="00C6596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="0059176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care</w:t>
            </w:r>
            <w:r w:rsidR="00A6084A" w:rsidRPr="00C6596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for various GIT diseases</w:t>
            </w:r>
          </w:p>
        </w:tc>
        <w:tc>
          <w:tcPr>
            <w:tcW w:w="3333" w:type="dxa"/>
          </w:tcPr>
          <w:p w:rsidR="00A6084A" w:rsidRPr="00C65966" w:rsidRDefault="00A6084A" w:rsidP="0092585D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6596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Nutrition for GIT Diseases</w:t>
            </w:r>
          </w:p>
          <w:p w:rsidR="00A6084A" w:rsidRPr="00C65966" w:rsidRDefault="00A6084A" w:rsidP="0092585D">
            <w:pPr>
              <w:tabs>
                <w:tab w:val="right" w:pos="4230"/>
              </w:tabs>
              <w:spacing w:before="120"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C6596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BC-216</w:t>
            </w:r>
          </w:p>
        </w:tc>
      </w:tr>
      <w:tr w:rsidR="00A6084A" w:rsidRPr="003A35CE" w:rsidTr="00B05EB2">
        <w:tc>
          <w:tcPr>
            <w:tcW w:w="5441" w:type="dxa"/>
          </w:tcPr>
          <w:p w:rsidR="00A6084A" w:rsidRPr="00C65966" w:rsidRDefault="00B22FF3" w:rsidP="00B22FF3">
            <w:pPr>
              <w:tabs>
                <w:tab w:val="right" w:pos="4230"/>
              </w:tabs>
              <w:spacing w:before="120"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Nutritional</w:t>
            </w:r>
            <w:r w:rsidR="00A6084A" w:rsidRPr="00C6596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="0059176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care</w:t>
            </w:r>
            <w:r w:rsidR="00A6084A" w:rsidRPr="00C6596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for various diseases of hepatic system </w:t>
            </w:r>
          </w:p>
        </w:tc>
        <w:tc>
          <w:tcPr>
            <w:tcW w:w="3333" w:type="dxa"/>
          </w:tcPr>
          <w:p w:rsidR="00A6084A" w:rsidRPr="00C65966" w:rsidRDefault="00A6084A" w:rsidP="0092585D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6596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Nutrition for Liver Diseases</w:t>
            </w:r>
          </w:p>
          <w:p w:rsidR="00A6084A" w:rsidRPr="00C65966" w:rsidRDefault="00A6084A" w:rsidP="0092585D">
            <w:pPr>
              <w:tabs>
                <w:tab w:val="right" w:pos="423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C6596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BC-217</w:t>
            </w:r>
          </w:p>
        </w:tc>
      </w:tr>
      <w:tr w:rsidR="00A6084A" w:rsidRPr="003A35CE" w:rsidTr="00B05EB2">
        <w:tc>
          <w:tcPr>
            <w:tcW w:w="5441" w:type="dxa"/>
          </w:tcPr>
          <w:p w:rsidR="00A6084A" w:rsidRPr="00C65966" w:rsidRDefault="00B22FF3" w:rsidP="00B22FF3">
            <w:pPr>
              <w:tabs>
                <w:tab w:val="right" w:pos="4230"/>
              </w:tabs>
              <w:spacing w:before="120"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Nutritional</w:t>
            </w:r>
            <w:r w:rsidR="00A6084A" w:rsidRPr="00C6596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="0059176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care</w:t>
            </w:r>
            <w:r w:rsidR="00A6084A" w:rsidRPr="00C6596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for various diseases of renal system </w:t>
            </w:r>
          </w:p>
        </w:tc>
        <w:tc>
          <w:tcPr>
            <w:tcW w:w="3333" w:type="dxa"/>
          </w:tcPr>
          <w:p w:rsidR="00A6084A" w:rsidRPr="00C65966" w:rsidRDefault="00A6084A" w:rsidP="0092585D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6596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Nutrition for Renal Diseases</w:t>
            </w:r>
          </w:p>
          <w:p w:rsidR="00A6084A" w:rsidRPr="00C65966" w:rsidRDefault="00A6084A" w:rsidP="0092585D">
            <w:pPr>
              <w:tabs>
                <w:tab w:val="right" w:pos="423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C6596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BC-218</w:t>
            </w:r>
          </w:p>
        </w:tc>
      </w:tr>
      <w:tr w:rsidR="00A6084A" w:rsidRPr="003A35CE" w:rsidTr="00B05EB2">
        <w:tc>
          <w:tcPr>
            <w:tcW w:w="5441" w:type="dxa"/>
          </w:tcPr>
          <w:p w:rsidR="00A6084A" w:rsidRPr="00C65966" w:rsidRDefault="00B22FF3" w:rsidP="00B22FF3">
            <w:pPr>
              <w:tabs>
                <w:tab w:val="right" w:pos="4230"/>
              </w:tabs>
              <w:spacing w:before="120"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Nutritional</w:t>
            </w:r>
            <w:r w:rsidR="00A6084A" w:rsidRPr="00C6596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="0059176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care</w:t>
            </w:r>
            <w:r w:rsidR="00A6084A" w:rsidRPr="00C6596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for various metabolic disorders and diseases of cardiovascular system </w:t>
            </w:r>
          </w:p>
        </w:tc>
        <w:tc>
          <w:tcPr>
            <w:tcW w:w="3333" w:type="dxa"/>
          </w:tcPr>
          <w:p w:rsidR="00A6084A" w:rsidRPr="00C65966" w:rsidRDefault="00A6084A" w:rsidP="0092585D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6596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Nutrition for Cardiovascular and Metabolic Diseases</w:t>
            </w:r>
          </w:p>
          <w:p w:rsidR="00A6084A" w:rsidRPr="00C65966" w:rsidRDefault="00A6084A" w:rsidP="0092585D">
            <w:pPr>
              <w:tabs>
                <w:tab w:val="right" w:pos="423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C6596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BC-219</w:t>
            </w:r>
          </w:p>
        </w:tc>
      </w:tr>
      <w:tr w:rsidR="00A6084A" w:rsidRPr="003A35CE" w:rsidTr="00B05EB2">
        <w:tc>
          <w:tcPr>
            <w:tcW w:w="5441" w:type="dxa"/>
          </w:tcPr>
          <w:p w:rsidR="00A6084A" w:rsidRPr="00C65966" w:rsidRDefault="00A6084A" w:rsidP="0092585D">
            <w:pPr>
              <w:tabs>
                <w:tab w:val="right" w:pos="4230"/>
              </w:tabs>
              <w:spacing w:before="120"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C6596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Nutrition and genetic factors in carcinogenesis - Diet and cancer guidelines </w:t>
            </w:r>
            <w:r w:rsidR="00B22FF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- </w:t>
            </w:r>
            <w:proofErr w:type="spellStart"/>
            <w:r w:rsidR="00B22FF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Nutrigenomics</w:t>
            </w:r>
            <w:proofErr w:type="spellEnd"/>
          </w:p>
        </w:tc>
        <w:tc>
          <w:tcPr>
            <w:tcW w:w="3333" w:type="dxa"/>
          </w:tcPr>
          <w:p w:rsidR="00A6084A" w:rsidRPr="00C65966" w:rsidRDefault="00A6084A" w:rsidP="0092585D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6596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Nutrition for Cancer Patients</w:t>
            </w:r>
          </w:p>
          <w:p w:rsidR="00A6084A" w:rsidRPr="00C65966" w:rsidRDefault="00A6084A" w:rsidP="0092585D">
            <w:pPr>
              <w:tabs>
                <w:tab w:val="right" w:pos="423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6596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BC-220</w:t>
            </w:r>
          </w:p>
        </w:tc>
      </w:tr>
      <w:tr w:rsidR="00C510E8" w:rsidRPr="003A35CE" w:rsidTr="00B05EB2">
        <w:tc>
          <w:tcPr>
            <w:tcW w:w="5441" w:type="dxa"/>
          </w:tcPr>
          <w:p w:rsidR="00C510E8" w:rsidRPr="00C65966" w:rsidRDefault="001C0111" w:rsidP="00C510E8">
            <w:pPr>
              <w:spacing w:before="120"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2D48F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The students conduct an applied research regarding selected topics of clinical nutrition under supervision of the instructor, to be presented and evaluated with free discussion.</w:t>
            </w:r>
          </w:p>
        </w:tc>
        <w:tc>
          <w:tcPr>
            <w:tcW w:w="3333" w:type="dxa"/>
          </w:tcPr>
          <w:p w:rsidR="00C510E8" w:rsidRPr="00C65966" w:rsidRDefault="00C510E8" w:rsidP="001C0111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Research Project</w:t>
            </w:r>
            <w:r w:rsidR="0059176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</w:p>
          <w:p w:rsidR="00C510E8" w:rsidRPr="00C65966" w:rsidRDefault="00C510E8" w:rsidP="00DD61FD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6596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BC-221</w:t>
            </w:r>
          </w:p>
        </w:tc>
      </w:tr>
    </w:tbl>
    <w:p w:rsidR="00814AB5" w:rsidRPr="00814AB5" w:rsidRDefault="00814AB5" w:rsidP="00695EBD">
      <w:pPr>
        <w:pStyle w:val="ListParagraph"/>
        <w:widowControl w:val="0"/>
        <w:tabs>
          <w:tab w:val="left" w:pos="993"/>
          <w:tab w:val="left" w:pos="1084"/>
        </w:tabs>
        <w:autoSpaceDE w:val="0"/>
        <w:autoSpaceDN w:val="0"/>
        <w:adjustRightInd w:val="0"/>
        <w:spacing w:before="240" w:after="0" w:line="312" w:lineRule="auto"/>
        <w:ind w:left="0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u w:val="single"/>
          <w:lang w:val="en-GB"/>
        </w:rPr>
      </w:pPr>
      <w:r w:rsidRPr="00814AB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val="en-GB"/>
        </w:rPr>
        <w:t xml:space="preserve">Article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val="en-GB"/>
        </w:rPr>
        <w:t>22</w:t>
      </w:r>
      <w:r w:rsidRPr="00814AB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val="en-GB"/>
        </w:rPr>
        <w:t>:</w:t>
      </w:r>
      <w:r w:rsidRPr="00814AB5">
        <w:rPr>
          <w:rFonts w:asciiTheme="majorBidi" w:hAnsiTheme="majorBidi" w:cstheme="majorBidi"/>
          <w:b/>
          <w:bCs/>
          <w:color w:val="000000" w:themeColor="text1"/>
          <w:sz w:val="26"/>
          <w:szCs w:val="26"/>
          <w:u w:val="single"/>
          <w:lang w:val="en-GB"/>
        </w:rPr>
        <w:t xml:space="preserve"> </w:t>
      </w:r>
    </w:p>
    <w:p w:rsidR="00814AB5" w:rsidRDefault="00814AB5" w:rsidP="00695EBD">
      <w:pPr>
        <w:pStyle w:val="ListParagraph"/>
        <w:widowControl w:val="0"/>
        <w:tabs>
          <w:tab w:val="left" w:pos="993"/>
          <w:tab w:val="left" w:pos="1084"/>
        </w:tabs>
        <w:autoSpaceDE w:val="0"/>
        <w:autoSpaceDN w:val="0"/>
        <w:adjustRightInd w:val="0"/>
        <w:spacing w:before="120" w:after="0" w:line="312" w:lineRule="auto"/>
        <w:ind w:left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6B707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The provisions of the Law of Organizing Universities, its executive regulation, and any amendments thereto are applied in 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>any other statements</w:t>
      </w:r>
      <w:r w:rsidRPr="006B707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not 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>considered</w:t>
      </w:r>
      <w:r w:rsidRPr="006B707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in this regulation</w:t>
      </w:r>
      <w:r w:rsidR="00143C1C">
        <w:rPr>
          <w:rFonts w:asciiTheme="majorBidi" w:hAnsiTheme="majorBidi" w:cstheme="majorBidi"/>
          <w:color w:val="000000" w:themeColor="text1"/>
          <w:sz w:val="26"/>
          <w:szCs w:val="26"/>
        </w:rPr>
        <w:t>/bylaw</w:t>
      </w:r>
      <w:r w:rsidRPr="006B7070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</w:p>
    <w:p w:rsidR="00143C1C" w:rsidRPr="006B7070" w:rsidRDefault="00143C1C" w:rsidP="00814AB5">
      <w:pPr>
        <w:pStyle w:val="ListParagraph"/>
        <w:widowControl w:val="0"/>
        <w:tabs>
          <w:tab w:val="left" w:pos="993"/>
          <w:tab w:val="left" w:pos="1084"/>
        </w:tabs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color w:val="000000" w:themeColor="text1"/>
          <w:sz w:val="26"/>
          <w:szCs w:val="26"/>
        </w:rPr>
        <w:t>========================================================</w:t>
      </w:r>
    </w:p>
    <w:p w:rsidR="00814AB5" w:rsidRDefault="00814AB5" w:rsidP="008B5A0C">
      <w:pPr>
        <w:widowControl w:val="0"/>
        <w:tabs>
          <w:tab w:val="left" w:pos="609"/>
          <w:tab w:val="left" w:pos="1084"/>
        </w:tabs>
        <w:autoSpaceDE w:val="0"/>
        <w:autoSpaceDN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sectPr w:rsidR="00814AB5" w:rsidSect="0086695B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CE7" w:rsidRDefault="002C1CE7" w:rsidP="000D1449">
      <w:pPr>
        <w:spacing w:after="0" w:line="240" w:lineRule="auto"/>
      </w:pPr>
      <w:r>
        <w:separator/>
      </w:r>
    </w:p>
  </w:endnote>
  <w:endnote w:type="continuationSeparator" w:id="0">
    <w:p w:rsidR="002C1CE7" w:rsidRDefault="002C1CE7" w:rsidP="000D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228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A034F4" w:rsidRDefault="00A034F4">
            <w:pPr>
              <w:pStyle w:val="Footer"/>
              <w:jc w:val="right"/>
            </w:pPr>
            <w:r>
              <w:t xml:space="preserve">Page </w:t>
            </w:r>
            <w:r w:rsidR="009A653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A6537">
              <w:rPr>
                <w:b/>
                <w:sz w:val="24"/>
                <w:szCs w:val="24"/>
              </w:rPr>
              <w:fldChar w:fldCharType="separate"/>
            </w:r>
            <w:r w:rsidR="004A3A2A">
              <w:rPr>
                <w:b/>
                <w:noProof/>
              </w:rPr>
              <w:t>8</w:t>
            </w:r>
            <w:r w:rsidR="009A653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A653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A6537">
              <w:rPr>
                <w:b/>
                <w:sz w:val="24"/>
                <w:szCs w:val="24"/>
              </w:rPr>
              <w:fldChar w:fldCharType="separate"/>
            </w:r>
            <w:r w:rsidR="004A3A2A">
              <w:rPr>
                <w:b/>
                <w:noProof/>
              </w:rPr>
              <w:t>8</w:t>
            </w:r>
            <w:r w:rsidR="009A653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11CB9" w:rsidRDefault="00811C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CE7" w:rsidRDefault="002C1CE7" w:rsidP="000D1449">
      <w:pPr>
        <w:spacing w:after="0" w:line="240" w:lineRule="auto"/>
      </w:pPr>
      <w:r>
        <w:separator/>
      </w:r>
    </w:p>
  </w:footnote>
  <w:footnote w:type="continuationSeparator" w:id="0">
    <w:p w:rsidR="002C1CE7" w:rsidRDefault="002C1CE7" w:rsidP="000D1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CB9" w:rsidRDefault="00B61D19" w:rsidP="00433F9C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4714875</wp:posOffset>
          </wp:positionH>
          <wp:positionV relativeFrom="paragraph">
            <wp:posOffset>140970</wp:posOffset>
          </wp:positionV>
          <wp:extent cx="854075" cy="819150"/>
          <wp:effectExtent l="19050" t="0" r="3175" b="0"/>
          <wp:wrapNone/>
          <wp:docPr id="5" name="Picture 5" descr="tanta-university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nta-university23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537CB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140970</wp:posOffset>
          </wp:positionV>
          <wp:extent cx="894715" cy="838200"/>
          <wp:effectExtent l="0" t="0" r="635" b="0"/>
          <wp:wrapNone/>
          <wp:docPr id="6" name="Picture 6" descr="C:\Users\win\Desktop\IMG_02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\Desktop\IMG_0238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42" t="7037" r="18605" b="10001"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1CB9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2439035</wp:posOffset>
          </wp:positionV>
          <wp:extent cx="3430905" cy="3430905"/>
          <wp:effectExtent l="0" t="0" r="0" b="0"/>
          <wp:wrapNone/>
          <wp:docPr id="4" name="Picture 4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82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0905" cy="343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1CB9">
      <w:t xml:space="preserve">                    </w:t>
    </w:r>
  </w:p>
  <w:p w:rsidR="00D545ED" w:rsidRDefault="00D545ED" w:rsidP="00D545ED">
    <w:pPr>
      <w:pStyle w:val="Header"/>
      <w:jc w:val="center"/>
      <w:rPr>
        <w:b/>
        <w:bCs/>
        <w:sz w:val="36"/>
        <w:szCs w:val="36"/>
        <w:u w:val="single"/>
      </w:rPr>
    </w:pPr>
  </w:p>
  <w:p w:rsidR="00811CB9" w:rsidRPr="00B61D19" w:rsidRDefault="00B61D19" w:rsidP="00D545ED">
    <w:pPr>
      <w:pStyle w:val="Header"/>
      <w:jc w:val="center"/>
      <w:rPr>
        <w:b/>
        <w:bCs/>
        <w:sz w:val="36"/>
        <w:szCs w:val="36"/>
        <w:u w:val="single"/>
      </w:rPr>
    </w:pPr>
    <w:r w:rsidRPr="00B61D19">
      <w:rPr>
        <w:b/>
        <w:bCs/>
        <w:sz w:val="36"/>
        <w:szCs w:val="36"/>
        <w:u w:val="single"/>
      </w:rPr>
      <w:t xml:space="preserve">Nutrition </w:t>
    </w:r>
    <w:r w:rsidR="00741FF3" w:rsidRPr="00B61D19">
      <w:rPr>
        <w:b/>
        <w:bCs/>
        <w:sz w:val="36"/>
        <w:szCs w:val="36"/>
        <w:u w:val="single"/>
      </w:rPr>
      <w:t xml:space="preserve">in </w:t>
    </w:r>
    <w:r w:rsidRPr="00B61D19">
      <w:rPr>
        <w:b/>
        <w:bCs/>
        <w:sz w:val="36"/>
        <w:szCs w:val="36"/>
        <w:u w:val="single"/>
      </w:rPr>
      <w:t>Health Care</w:t>
    </w:r>
    <w:r w:rsidR="008D15FE">
      <w:rPr>
        <w:b/>
        <w:bCs/>
        <w:sz w:val="36"/>
        <w:szCs w:val="36"/>
        <w:u w:val="single"/>
      </w:rPr>
      <w:t xml:space="preserve"> Diploma</w:t>
    </w:r>
  </w:p>
  <w:p w:rsidR="004537CB" w:rsidRDefault="004537CB" w:rsidP="004537CB">
    <w:pPr>
      <w:pStyle w:val="Header"/>
      <w:spacing w:after="240"/>
      <w:jc w:val="center"/>
      <w:rPr>
        <w:b/>
        <w:bCs/>
        <w:sz w:val="36"/>
        <w:szCs w:val="36"/>
        <w:u w:val="single"/>
      </w:rPr>
    </w:pPr>
    <w:r w:rsidRPr="00B61D19">
      <w:rPr>
        <w:b/>
        <w:bCs/>
        <w:sz w:val="36"/>
        <w:szCs w:val="36"/>
        <w:u w:val="single"/>
      </w:rPr>
      <w:t>(By Credit Hours System)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F41"/>
    <w:multiLevelType w:val="hybridMultilevel"/>
    <w:tmpl w:val="FCF045B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F2947"/>
    <w:multiLevelType w:val="hybridMultilevel"/>
    <w:tmpl w:val="8F1237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B63EED"/>
    <w:multiLevelType w:val="hybridMultilevel"/>
    <w:tmpl w:val="734A6D2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178DC"/>
    <w:multiLevelType w:val="hybridMultilevel"/>
    <w:tmpl w:val="A65C9E5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C10AB"/>
    <w:multiLevelType w:val="hybridMultilevel"/>
    <w:tmpl w:val="36D25DBE"/>
    <w:lvl w:ilvl="0" w:tplc="76E0DEA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aditional Arabic" w:eastAsia="Times New Roman" w:hAnsi="Traditional Arabic" w:cs="Traditional Arabic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5">
    <w:nsid w:val="0AF46ABC"/>
    <w:multiLevelType w:val="hybridMultilevel"/>
    <w:tmpl w:val="F26CAA2E"/>
    <w:lvl w:ilvl="0" w:tplc="76E0DEA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aditional Arabic" w:eastAsia="Times New Roman" w:hAnsi="Traditional Arabic" w:cs="Traditional Arabic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6">
    <w:nsid w:val="0E767A61"/>
    <w:multiLevelType w:val="hybridMultilevel"/>
    <w:tmpl w:val="6DF24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9171FB"/>
    <w:multiLevelType w:val="hybridMultilevel"/>
    <w:tmpl w:val="2D5A42A6"/>
    <w:lvl w:ilvl="0" w:tplc="0F1E7364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886841"/>
    <w:multiLevelType w:val="hybridMultilevel"/>
    <w:tmpl w:val="84D8E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2D6D27"/>
    <w:multiLevelType w:val="hybridMultilevel"/>
    <w:tmpl w:val="A114FEFE"/>
    <w:lvl w:ilvl="0" w:tplc="76E0DEA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aditional Arabic" w:eastAsia="Times New Roman" w:hAnsi="Traditional Arabic" w:cs="Traditional Arabic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0">
    <w:nsid w:val="1E084BE9"/>
    <w:multiLevelType w:val="hybridMultilevel"/>
    <w:tmpl w:val="2EE2F3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D6C62"/>
    <w:multiLevelType w:val="hybridMultilevel"/>
    <w:tmpl w:val="2EB6861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304CF"/>
    <w:multiLevelType w:val="hybridMultilevel"/>
    <w:tmpl w:val="45228B5C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9B79AA"/>
    <w:multiLevelType w:val="hybridMultilevel"/>
    <w:tmpl w:val="8C0AD8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C2135"/>
    <w:multiLevelType w:val="hybridMultilevel"/>
    <w:tmpl w:val="5E08B8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2B51B9"/>
    <w:multiLevelType w:val="hybridMultilevel"/>
    <w:tmpl w:val="7E365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46E41"/>
    <w:multiLevelType w:val="hybridMultilevel"/>
    <w:tmpl w:val="EBC206A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461FB"/>
    <w:multiLevelType w:val="hybridMultilevel"/>
    <w:tmpl w:val="019E79B2"/>
    <w:lvl w:ilvl="0" w:tplc="EAF0A6CA">
      <w:numFmt w:val="bullet"/>
      <w:lvlText w:val="-"/>
      <w:lvlJc w:val="left"/>
      <w:pPr>
        <w:ind w:left="180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0354D6"/>
    <w:multiLevelType w:val="hybridMultilevel"/>
    <w:tmpl w:val="37307F1C"/>
    <w:lvl w:ilvl="0" w:tplc="EDBCF1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B540EA"/>
    <w:multiLevelType w:val="hybridMultilevel"/>
    <w:tmpl w:val="4808C892"/>
    <w:lvl w:ilvl="0" w:tplc="76E0DEAA">
      <w:start w:val="2"/>
      <w:numFmt w:val="bullet"/>
      <w:lvlText w:val="-"/>
      <w:lvlJc w:val="left"/>
      <w:pPr>
        <w:ind w:left="360" w:hanging="360"/>
      </w:pPr>
      <w:rPr>
        <w:rFonts w:ascii="Traditional Arabic" w:eastAsia="Times New Roman" w:hAnsi="Traditional Arabic" w:cs="Traditional Arabic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457F0E"/>
    <w:multiLevelType w:val="hybridMultilevel"/>
    <w:tmpl w:val="132E10C2"/>
    <w:lvl w:ilvl="0" w:tplc="03A88702">
      <w:start w:val="1"/>
      <w:numFmt w:val="bullet"/>
      <w:lvlText w:val="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21">
    <w:nsid w:val="4EDA4305"/>
    <w:multiLevelType w:val="hybridMultilevel"/>
    <w:tmpl w:val="99DC260A"/>
    <w:lvl w:ilvl="0" w:tplc="76E0DEAA">
      <w:start w:val="2"/>
      <w:numFmt w:val="bullet"/>
      <w:lvlText w:val="-"/>
      <w:lvlJc w:val="left"/>
      <w:pPr>
        <w:ind w:left="360" w:hanging="360"/>
      </w:pPr>
      <w:rPr>
        <w:rFonts w:ascii="Traditional Arabic" w:eastAsia="Times New Roman" w:hAnsi="Traditional Arabic" w:cs="Traditional Arabic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6F0F38"/>
    <w:multiLevelType w:val="hybridMultilevel"/>
    <w:tmpl w:val="131C8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A78CE"/>
    <w:multiLevelType w:val="hybridMultilevel"/>
    <w:tmpl w:val="9FCCCB1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4">
    <w:nsid w:val="62DE242C"/>
    <w:multiLevelType w:val="hybridMultilevel"/>
    <w:tmpl w:val="C1B61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649C1"/>
    <w:multiLevelType w:val="hybridMultilevel"/>
    <w:tmpl w:val="3DFA090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CF70CFC"/>
    <w:multiLevelType w:val="hybridMultilevel"/>
    <w:tmpl w:val="6BA410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B019B4"/>
    <w:multiLevelType w:val="hybridMultilevel"/>
    <w:tmpl w:val="8F564BF6"/>
    <w:lvl w:ilvl="0" w:tplc="76E0DEA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aditional Arabic" w:eastAsia="Times New Roman" w:hAnsi="Traditional Arabic" w:cs="Traditional Arabic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28">
    <w:nsid w:val="74ED0672"/>
    <w:multiLevelType w:val="hybridMultilevel"/>
    <w:tmpl w:val="005C3AEA"/>
    <w:lvl w:ilvl="0" w:tplc="76E0DEAA">
      <w:start w:val="2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14000D"/>
    <w:multiLevelType w:val="hybridMultilevel"/>
    <w:tmpl w:val="42A06DE8"/>
    <w:lvl w:ilvl="0" w:tplc="C6CAC7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A67BF"/>
    <w:multiLevelType w:val="hybridMultilevel"/>
    <w:tmpl w:val="BCAEEF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025430"/>
    <w:multiLevelType w:val="hybridMultilevel"/>
    <w:tmpl w:val="542E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73724"/>
    <w:multiLevelType w:val="hybridMultilevel"/>
    <w:tmpl w:val="1B3C1D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5"/>
  </w:num>
  <w:num w:numId="4">
    <w:abstractNumId w:val="14"/>
  </w:num>
  <w:num w:numId="5">
    <w:abstractNumId w:val="23"/>
  </w:num>
  <w:num w:numId="6">
    <w:abstractNumId w:val="7"/>
  </w:num>
  <w:num w:numId="7">
    <w:abstractNumId w:val="5"/>
  </w:num>
  <w:num w:numId="8">
    <w:abstractNumId w:val="4"/>
  </w:num>
  <w:num w:numId="9">
    <w:abstractNumId w:val="27"/>
  </w:num>
  <w:num w:numId="10">
    <w:abstractNumId w:val="9"/>
  </w:num>
  <w:num w:numId="11">
    <w:abstractNumId w:val="21"/>
  </w:num>
  <w:num w:numId="12">
    <w:abstractNumId w:val="32"/>
  </w:num>
  <w:num w:numId="13">
    <w:abstractNumId w:val="8"/>
  </w:num>
  <w:num w:numId="14">
    <w:abstractNumId w:val="30"/>
  </w:num>
  <w:num w:numId="15">
    <w:abstractNumId w:val="19"/>
  </w:num>
  <w:num w:numId="16">
    <w:abstractNumId w:val="26"/>
  </w:num>
  <w:num w:numId="17">
    <w:abstractNumId w:val="6"/>
  </w:num>
  <w:num w:numId="18">
    <w:abstractNumId w:val="31"/>
  </w:num>
  <w:num w:numId="19">
    <w:abstractNumId w:val="1"/>
  </w:num>
  <w:num w:numId="20">
    <w:abstractNumId w:val="18"/>
  </w:num>
  <w:num w:numId="21">
    <w:abstractNumId w:val="3"/>
  </w:num>
  <w:num w:numId="22">
    <w:abstractNumId w:val="0"/>
  </w:num>
  <w:num w:numId="23">
    <w:abstractNumId w:val="2"/>
  </w:num>
  <w:num w:numId="24">
    <w:abstractNumId w:val="16"/>
  </w:num>
  <w:num w:numId="25">
    <w:abstractNumId w:val="12"/>
  </w:num>
  <w:num w:numId="26">
    <w:abstractNumId w:val="11"/>
  </w:num>
  <w:num w:numId="27">
    <w:abstractNumId w:val="29"/>
  </w:num>
  <w:num w:numId="28">
    <w:abstractNumId w:val="10"/>
  </w:num>
  <w:num w:numId="29">
    <w:abstractNumId w:val="13"/>
  </w:num>
  <w:num w:numId="30">
    <w:abstractNumId w:val="22"/>
  </w:num>
  <w:num w:numId="31">
    <w:abstractNumId w:val="15"/>
  </w:num>
  <w:num w:numId="32">
    <w:abstractNumId w:val="2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5F2"/>
    <w:rsid w:val="0000645D"/>
    <w:rsid w:val="0001477A"/>
    <w:rsid w:val="00016B46"/>
    <w:rsid w:val="00022F90"/>
    <w:rsid w:val="00027A6A"/>
    <w:rsid w:val="00034276"/>
    <w:rsid w:val="000376AE"/>
    <w:rsid w:val="00042ADA"/>
    <w:rsid w:val="00043753"/>
    <w:rsid w:val="00043FEA"/>
    <w:rsid w:val="00044D64"/>
    <w:rsid w:val="00054684"/>
    <w:rsid w:val="0006617B"/>
    <w:rsid w:val="000702EB"/>
    <w:rsid w:val="000705B4"/>
    <w:rsid w:val="00075194"/>
    <w:rsid w:val="00075C35"/>
    <w:rsid w:val="000816E1"/>
    <w:rsid w:val="000846F6"/>
    <w:rsid w:val="0008524F"/>
    <w:rsid w:val="00087CB6"/>
    <w:rsid w:val="00094580"/>
    <w:rsid w:val="00094E66"/>
    <w:rsid w:val="000A6775"/>
    <w:rsid w:val="000A7940"/>
    <w:rsid w:val="000B31C3"/>
    <w:rsid w:val="000B384B"/>
    <w:rsid w:val="000C1D04"/>
    <w:rsid w:val="000D1449"/>
    <w:rsid w:val="000D1CC0"/>
    <w:rsid w:val="000D38B9"/>
    <w:rsid w:val="000E742F"/>
    <w:rsid w:val="000F25F2"/>
    <w:rsid w:val="000F461A"/>
    <w:rsid w:val="000F4841"/>
    <w:rsid w:val="001239B6"/>
    <w:rsid w:val="00131784"/>
    <w:rsid w:val="00140A47"/>
    <w:rsid w:val="00142D73"/>
    <w:rsid w:val="00143C1C"/>
    <w:rsid w:val="00145978"/>
    <w:rsid w:val="00152D9A"/>
    <w:rsid w:val="001600CF"/>
    <w:rsid w:val="0016164D"/>
    <w:rsid w:val="0016551D"/>
    <w:rsid w:val="00177E34"/>
    <w:rsid w:val="00184040"/>
    <w:rsid w:val="00184A02"/>
    <w:rsid w:val="00186D85"/>
    <w:rsid w:val="00193366"/>
    <w:rsid w:val="001A15A0"/>
    <w:rsid w:val="001A50E8"/>
    <w:rsid w:val="001A5CFA"/>
    <w:rsid w:val="001A7DC1"/>
    <w:rsid w:val="001B1CEC"/>
    <w:rsid w:val="001C0111"/>
    <w:rsid w:val="001C408F"/>
    <w:rsid w:val="001D53FD"/>
    <w:rsid w:val="001E131A"/>
    <w:rsid w:val="001E2EDC"/>
    <w:rsid w:val="001E4D03"/>
    <w:rsid w:val="001F4FED"/>
    <w:rsid w:val="001F54A3"/>
    <w:rsid w:val="0020549D"/>
    <w:rsid w:val="00206F66"/>
    <w:rsid w:val="00207FE5"/>
    <w:rsid w:val="00222915"/>
    <w:rsid w:val="00225BAA"/>
    <w:rsid w:val="0023493F"/>
    <w:rsid w:val="00235827"/>
    <w:rsid w:val="00247560"/>
    <w:rsid w:val="00247E8A"/>
    <w:rsid w:val="00255E8C"/>
    <w:rsid w:val="00256FD2"/>
    <w:rsid w:val="00264F6E"/>
    <w:rsid w:val="00271687"/>
    <w:rsid w:val="00293D4B"/>
    <w:rsid w:val="00296429"/>
    <w:rsid w:val="002A03AD"/>
    <w:rsid w:val="002B0121"/>
    <w:rsid w:val="002C1CE7"/>
    <w:rsid w:val="002C3DD2"/>
    <w:rsid w:val="002D48F6"/>
    <w:rsid w:val="00307D54"/>
    <w:rsid w:val="00312F97"/>
    <w:rsid w:val="00351FE1"/>
    <w:rsid w:val="003646D1"/>
    <w:rsid w:val="00372F03"/>
    <w:rsid w:val="00374726"/>
    <w:rsid w:val="00376C9F"/>
    <w:rsid w:val="00382A3E"/>
    <w:rsid w:val="00387AB7"/>
    <w:rsid w:val="003A35CE"/>
    <w:rsid w:val="003A42BC"/>
    <w:rsid w:val="003B37AA"/>
    <w:rsid w:val="003B41B0"/>
    <w:rsid w:val="003B423F"/>
    <w:rsid w:val="003B591A"/>
    <w:rsid w:val="003C35D6"/>
    <w:rsid w:val="003D67B3"/>
    <w:rsid w:val="003E526F"/>
    <w:rsid w:val="003E6268"/>
    <w:rsid w:val="003E700E"/>
    <w:rsid w:val="003F5C35"/>
    <w:rsid w:val="00401534"/>
    <w:rsid w:val="00403907"/>
    <w:rsid w:val="00404D1F"/>
    <w:rsid w:val="00420FDE"/>
    <w:rsid w:val="00433F9C"/>
    <w:rsid w:val="004453BF"/>
    <w:rsid w:val="00446750"/>
    <w:rsid w:val="00451625"/>
    <w:rsid w:val="004537CB"/>
    <w:rsid w:val="00466AC6"/>
    <w:rsid w:val="00470815"/>
    <w:rsid w:val="00473992"/>
    <w:rsid w:val="00475AD3"/>
    <w:rsid w:val="00480824"/>
    <w:rsid w:val="004844FA"/>
    <w:rsid w:val="00496DCF"/>
    <w:rsid w:val="004A3A2A"/>
    <w:rsid w:val="004A4138"/>
    <w:rsid w:val="004C15E0"/>
    <w:rsid w:val="004F05DA"/>
    <w:rsid w:val="004F7B5E"/>
    <w:rsid w:val="005009C9"/>
    <w:rsid w:val="00502123"/>
    <w:rsid w:val="00507744"/>
    <w:rsid w:val="005149F5"/>
    <w:rsid w:val="00515B2D"/>
    <w:rsid w:val="005340B2"/>
    <w:rsid w:val="00536ECE"/>
    <w:rsid w:val="005505C3"/>
    <w:rsid w:val="00565DFC"/>
    <w:rsid w:val="00573F6C"/>
    <w:rsid w:val="00577FAE"/>
    <w:rsid w:val="00582D7B"/>
    <w:rsid w:val="00591761"/>
    <w:rsid w:val="005C1038"/>
    <w:rsid w:val="005F0E36"/>
    <w:rsid w:val="005F4D58"/>
    <w:rsid w:val="0060082C"/>
    <w:rsid w:val="00614BFF"/>
    <w:rsid w:val="00614C18"/>
    <w:rsid w:val="006215BC"/>
    <w:rsid w:val="00622081"/>
    <w:rsid w:val="006252F3"/>
    <w:rsid w:val="00634138"/>
    <w:rsid w:val="00641BA6"/>
    <w:rsid w:val="00650643"/>
    <w:rsid w:val="00655CEC"/>
    <w:rsid w:val="00656A6C"/>
    <w:rsid w:val="00657B03"/>
    <w:rsid w:val="006751E9"/>
    <w:rsid w:val="00675E6C"/>
    <w:rsid w:val="006872BB"/>
    <w:rsid w:val="00691AF0"/>
    <w:rsid w:val="00692C14"/>
    <w:rsid w:val="00693D7F"/>
    <w:rsid w:val="00695EBD"/>
    <w:rsid w:val="006A18BE"/>
    <w:rsid w:val="006A7BF3"/>
    <w:rsid w:val="006B057E"/>
    <w:rsid w:val="006B54A7"/>
    <w:rsid w:val="006B7070"/>
    <w:rsid w:val="006C0E3E"/>
    <w:rsid w:val="006C783A"/>
    <w:rsid w:val="006D54DD"/>
    <w:rsid w:val="006D6364"/>
    <w:rsid w:val="006E04A5"/>
    <w:rsid w:val="006E2460"/>
    <w:rsid w:val="006E7572"/>
    <w:rsid w:val="006F043F"/>
    <w:rsid w:val="00700034"/>
    <w:rsid w:val="007210A8"/>
    <w:rsid w:val="00726915"/>
    <w:rsid w:val="007278FF"/>
    <w:rsid w:val="00727DB9"/>
    <w:rsid w:val="00730339"/>
    <w:rsid w:val="00730457"/>
    <w:rsid w:val="00735BBB"/>
    <w:rsid w:val="00736106"/>
    <w:rsid w:val="00736533"/>
    <w:rsid w:val="007406DB"/>
    <w:rsid w:val="00741FF3"/>
    <w:rsid w:val="00747A91"/>
    <w:rsid w:val="00747AA5"/>
    <w:rsid w:val="007539F7"/>
    <w:rsid w:val="007555B5"/>
    <w:rsid w:val="0078332E"/>
    <w:rsid w:val="007926F5"/>
    <w:rsid w:val="007A0CC6"/>
    <w:rsid w:val="007B165C"/>
    <w:rsid w:val="007D06E2"/>
    <w:rsid w:val="007D249B"/>
    <w:rsid w:val="007D74AD"/>
    <w:rsid w:val="007E2D5A"/>
    <w:rsid w:val="007F18E1"/>
    <w:rsid w:val="007F4B54"/>
    <w:rsid w:val="007F7E79"/>
    <w:rsid w:val="00811CB9"/>
    <w:rsid w:val="0081295D"/>
    <w:rsid w:val="00812D63"/>
    <w:rsid w:val="00814AB5"/>
    <w:rsid w:val="008161D5"/>
    <w:rsid w:val="00822D02"/>
    <w:rsid w:val="0082379F"/>
    <w:rsid w:val="008346FC"/>
    <w:rsid w:val="00836B1B"/>
    <w:rsid w:val="00837E9D"/>
    <w:rsid w:val="00861389"/>
    <w:rsid w:val="0086695B"/>
    <w:rsid w:val="00867A6C"/>
    <w:rsid w:val="00873789"/>
    <w:rsid w:val="008775AC"/>
    <w:rsid w:val="00893A62"/>
    <w:rsid w:val="008A6CD9"/>
    <w:rsid w:val="008B1958"/>
    <w:rsid w:val="008B40DB"/>
    <w:rsid w:val="008B4FD0"/>
    <w:rsid w:val="008B5641"/>
    <w:rsid w:val="008B5A0C"/>
    <w:rsid w:val="008C025E"/>
    <w:rsid w:val="008C3054"/>
    <w:rsid w:val="008C3FDB"/>
    <w:rsid w:val="008D15FE"/>
    <w:rsid w:val="008F183F"/>
    <w:rsid w:val="008F5DE4"/>
    <w:rsid w:val="009054A9"/>
    <w:rsid w:val="00907B66"/>
    <w:rsid w:val="0091339F"/>
    <w:rsid w:val="0092585D"/>
    <w:rsid w:val="00937650"/>
    <w:rsid w:val="00955EE1"/>
    <w:rsid w:val="00962969"/>
    <w:rsid w:val="00964698"/>
    <w:rsid w:val="00964FC0"/>
    <w:rsid w:val="009717C5"/>
    <w:rsid w:val="00972B9B"/>
    <w:rsid w:val="00972C4D"/>
    <w:rsid w:val="00990684"/>
    <w:rsid w:val="00990AF0"/>
    <w:rsid w:val="00991C62"/>
    <w:rsid w:val="009A5E38"/>
    <w:rsid w:val="009A6186"/>
    <w:rsid w:val="009A6537"/>
    <w:rsid w:val="009A6EB7"/>
    <w:rsid w:val="009D1011"/>
    <w:rsid w:val="009D2DC8"/>
    <w:rsid w:val="009D6F7B"/>
    <w:rsid w:val="009E5FD2"/>
    <w:rsid w:val="009E7087"/>
    <w:rsid w:val="009F5E41"/>
    <w:rsid w:val="009F6D1C"/>
    <w:rsid w:val="00A01AA1"/>
    <w:rsid w:val="00A02F3B"/>
    <w:rsid w:val="00A034F4"/>
    <w:rsid w:val="00A04611"/>
    <w:rsid w:val="00A12862"/>
    <w:rsid w:val="00A13411"/>
    <w:rsid w:val="00A40DE5"/>
    <w:rsid w:val="00A47903"/>
    <w:rsid w:val="00A6084A"/>
    <w:rsid w:val="00A617A5"/>
    <w:rsid w:val="00A804FE"/>
    <w:rsid w:val="00A86962"/>
    <w:rsid w:val="00AA0A0A"/>
    <w:rsid w:val="00AA0D29"/>
    <w:rsid w:val="00AA0D56"/>
    <w:rsid w:val="00AA6D19"/>
    <w:rsid w:val="00AC025F"/>
    <w:rsid w:val="00AC2155"/>
    <w:rsid w:val="00AC233A"/>
    <w:rsid w:val="00AC70D3"/>
    <w:rsid w:val="00AD5732"/>
    <w:rsid w:val="00AD6DE2"/>
    <w:rsid w:val="00AD6FF5"/>
    <w:rsid w:val="00AE1CFD"/>
    <w:rsid w:val="00AE2FAB"/>
    <w:rsid w:val="00AE39DC"/>
    <w:rsid w:val="00AF3816"/>
    <w:rsid w:val="00AF3970"/>
    <w:rsid w:val="00AF3F36"/>
    <w:rsid w:val="00AF4AF9"/>
    <w:rsid w:val="00B046C2"/>
    <w:rsid w:val="00B04F58"/>
    <w:rsid w:val="00B05EB2"/>
    <w:rsid w:val="00B1422A"/>
    <w:rsid w:val="00B22235"/>
    <w:rsid w:val="00B22FF3"/>
    <w:rsid w:val="00B24D1A"/>
    <w:rsid w:val="00B27424"/>
    <w:rsid w:val="00B345A8"/>
    <w:rsid w:val="00B36023"/>
    <w:rsid w:val="00B400B3"/>
    <w:rsid w:val="00B46E58"/>
    <w:rsid w:val="00B4765E"/>
    <w:rsid w:val="00B5088A"/>
    <w:rsid w:val="00B6039A"/>
    <w:rsid w:val="00B607FC"/>
    <w:rsid w:val="00B60CEF"/>
    <w:rsid w:val="00B61D19"/>
    <w:rsid w:val="00B71E1F"/>
    <w:rsid w:val="00B7215A"/>
    <w:rsid w:val="00BA202C"/>
    <w:rsid w:val="00BB0559"/>
    <w:rsid w:val="00BB1F8F"/>
    <w:rsid w:val="00BB668C"/>
    <w:rsid w:val="00BC1881"/>
    <w:rsid w:val="00BC1BA0"/>
    <w:rsid w:val="00BE5CB3"/>
    <w:rsid w:val="00BF3330"/>
    <w:rsid w:val="00BF75AE"/>
    <w:rsid w:val="00C011B4"/>
    <w:rsid w:val="00C04093"/>
    <w:rsid w:val="00C266D8"/>
    <w:rsid w:val="00C31096"/>
    <w:rsid w:val="00C3382A"/>
    <w:rsid w:val="00C5007E"/>
    <w:rsid w:val="00C510E8"/>
    <w:rsid w:val="00C51BF5"/>
    <w:rsid w:val="00C53015"/>
    <w:rsid w:val="00C55F73"/>
    <w:rsid w:val="00C60CBE"/>
    <w:rsid w:val="00C75A36"/>
    <w:rsid w:val="00C80B7C"/>
    <w:rsid w:val="00C85713"/>
    <w:rsid w:val="00C9716D"/>
    <w:rsid w:val="00CA555E"/>
    <w:rsid w:val="00CC5198"/>
    <w:rsid w:val="00CC6052"/>
    <w:rsid w:val="00CD48D9"/>
    <w:rsid w:val="00CE0C5B"/>
    <w:rsid w:val="00CE6A67"/>
    <w:rsid w:val="00CF11FE"/>
    <w:rsid w:val="00CF4D0F"/>
    <w:rsid w:val="00D10254"/>
    <w:rsid w:val="00D103A1"/>
    <w:rsid w:val="00D13E2F"/>
    <w:rsid w:val="00D17382"/>
    <w:rsid w:val="00D220AE"/>
    <w:rsid w:val="00D26742"/>
    <w:rsid w:val="00D27FB8"/>
    <w:rsid w:val="00D337BF"/>
    <w:rsid w:val="00D341EB"/>
    <w:rsid w:val="00D52859"/>
    <w:rsid w:val="00D545ED"/>
    <w:rsid w:val="00D56D25"/>
    <w:rsid w:val="00D67E7D"/>
    <w:rsid w:val="00D77CF4"/>
    <w:rsid w:val="00D82B1D"/>
    <w:rsid w:val="00D863B4"/>
    <w:rsid w:val="00DA7280"/>
    <w:rsid w:val="00DA78BE"/>
    <w:rsid w:val="00DB0518"/>
    <w:rsid w:val="00DB06DF"/>
    <w:rsid w:val="00DB43CE"/>
    <w:rsid w:val="00DC28E1"/>
    <w:rsid w:val="00DC294B"/>
    <w:rsid w:val="00DC7264"/>
    <w:rsid w:val="00DF37B3"/>
    <w:rsid w:val="00DF6981"/>
    <w:rsid w:val="00E05348"/>
    <w:rsid w:val="00E15014"/>
    <w:rsid w:val="00E23782"/>
    <w:rsid w:val="00E26780"/>
    <w:rsid w:val="00E26AA4"/>
    <w:rsid w:val="00E27EBB"/>
    <w:rsid w:val="00E42754"/>
    <w:rsid w:val="00E44A57"/>
    <w:rsid w:val="00E47673"/>
    <w:rsid w:val="00E54757"/>
    <w:rsid w:val="00E5590F"/>
    <w:rsid w:val="00E560F9"/>
    <w:rsid w:val="00E82301"/>
    <w:rsid w:val="00E92BCF"/>
    <w:rsid w:val="00E93309"/>
    <w:rsid w:val="00E979B9"/>
    <w:rsid w:val="00EA7058"/>
    <w:rsid w:val="00EB734C"/>
    <w:rsid w:val="00EC1F7F"/>
    <w:rsid w:val="00EC4645"/>
    <w:rsid w:val="00EF6047"/>
    <w:rsid w:val="00F03E15"/>
    <w:rsid w:val="00F118F1"/>
    <w:rsid w:val="00F23B8B"/>
    <w:rsid w:val="00F24C5B"/>
    <w:rsid w:val="00F27895"/>
    <w:rsid w:val="00F31872"/>
    <w:rsid w:val="00F335A2"/>
    <w:rsid w:val="00F36788"/>
    <w:rsid w:val="00F3780D"/>
    <w:rsid w:val="00F43707"/>
    <w:rsid w:val="00F455DF"/>
    <w:rsid w:val="00F55B9C"/>
    <w:rsid w:val="00F6731C"/>
    <w:rsid w:val="00F6768F"/>
    <w:rsid w:val="00F71DE6"/>
    <w:rsid w:val="00F72377"/>
    <w:rsid w:val="00F73E33"/>
    <w:rsid w:val="00F86471"/>
    <w:rsid w:val="00FB38B7"/>
    <w:rsid w:val="00FB5414"/>
    <w:rsid w:val="00FD719D"/>
    <w:rsid w:val="00FE75C1"/>
    <w:rsid w:val="00FF05F8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80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3B5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0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280"/>
    <w:pPr>
      <w:ind w:left="720"/>
      <w:contextualSpacing/>
    </w:pPr>
  </w:style>
  <w:style w:type="table" w:styleId="TableGrid">
    <w:name w:val="Table Grid"/>
    <w:basedOn w:val="TableNormal"/>
    <w:uiPriority w:val="39"/>
    <w:rsid w:val="00DA728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D14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44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D14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449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3B59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0AF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99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6D"/>
    <w:rPr>
      <w:rFonts w:ascii="Tahoma" w:eastAsiaTheme="minorEastAsi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0B3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80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3B5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0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280"/>
    <w:pPr>
      <w:ind w:left="720"/>
      <w:contextualSpacing/>
    </w:pPr>
  </w:style>
  <w:style w:type="table" w:styleId="TableGrid">
    <w:name w:val="Table Grid"/>
    <w:basedOn w:val="TableNormal"/>
    <w:uiPriority w:val="39"/>
    <w:rsid w:val="00DA728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D14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44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D14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449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3B59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0AF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99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6D"/>
    <w:rPr>
      <w:rFonts w:ascii="Tahoma" w:eastAsiaTheme="minorEastAsi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0B3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92A57-A2CD-4333-84D2-B95CE054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20573943</TotalTime>
  <Pages>8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ph1</cp:lastModifiedBy>
  <cp:revision>70</cp:revision>
  <cp:lastPrinted>2020-06-02T11:15:00Z</cp:lastPrinted>
  <dcterms:created xsi:type="dcterms:W3CDTF">1980-01-04T16:14:00Z</dcterms:created>
  <dcterms:modified xsi:type="dcterms:W3CDTF">2020-06-02T11:22:00Z</dcterms:modified>
</cp:coreProperties>
</file>